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AA07C" w14:textId="2E4C0873" w:rsidR="005558C0" w:rsidRPr="00FA65C1" w:rsidRDefault="006370AE" w:rsidP="005F27B6">
      <w:pPr>
        <w:contextualSpacing/>
        <w:rPr>
          <w:b/>
          <w:bCs/>
        </w:rPr>
      </w:pPr>
      <w:r w:rsidRPr="00FA65C1">
        <w:rPr>
          <w:b/>
          <w:bCs/>
        </w:rPr>
        <w:t>Annual session</w:t>
      </w:r>
      <w:r w:rsidR="00521195" w:rsidRPr="00FA65C1">
        <w:rPr>
          <w:b/>
          <w:bCs/>
        </w:rPr>
        <w:t xml:space="preserve"> 2018</w:t>
      </w:r>
    </w:p>
    <w:p w14:paraId="447B951B" w14:textId="5CCD329F" w:rsidR="005558C0" w:rsidRPr="00FA65C1" w:rsidRDefault="00843D94" w:rsidP="005F27B6">
      <w:pPr>
        <w:contextualSpacing/>
      </w:pPr>
      <w:r w:rsidRPr="00FA65C1">
        <w:t>4-8</w:t>
      </w:r>
      <w:r w:rsidR="006370AE" w:rsidRPr="00FA65C1">
        <w:t xml:space="preserve"> </w:t>
      </w:r>
      <w:r w:rsidR="003D251B" w:rsidRPr="00FA65C1">
        <w:t>June</w:t>
      </w:r>
      <w:r w:rsidR="006370AE" w:rsidRPr="00FA65C1">
        <w:t xml:space="preserve"> 201</w:t>
      </w:r>
      <w:r w:rsidR="00521195" w:rsidRPr="00FA65C1">
        <w:t>8</w:t>
      </w:r>
      <w:r w:rsidR="003D251B" w:rsidRPr="00FA65C1">
        <w:t>, New York</w:t>
      </w:r>
    </w:p>
    <w:p w14:paraId="54140167" w14:textId="364A05E8" w:rsidR="005558C0" w:rsidRPr="00FA65C1" w:rsidRDefault="005558C0" w:rsidP="005F27B6">
      <w:pPr>
        <w:contextualSpacing/>
      </w:pPr>
      <w:r w:rsidRPr="00FA65C1">
        <w:t>Item</w:t>
      </w:r>
      <w:r w:rsidR="00183E97" w:rsidRPr="00FA65C1">
        <w:t xml:space="preserve"> </w:t>
      </w:r>
      <w:r w:rsidR="007B2068" w:rsidRPr="00FA65C1">
        <w:t>12</w:t>
      </w:r>
      <w:r w:rsidR="00CE3BD0" w:rsidRPr="00FA65C1">
        <w:t xml:space="preserve"> </w:t>
      </w:r>
      <w:r w:rsidRPr="00FA65C1">
        <w:t>of the provisional agenda</w:t>
      </w:r>
    </w:p>
    <w:p w14:paraId="7BB71EA5" w14:textId="4B7CF68E" w:rsidR="00236E42" w:rsidRPr="00FA65C1" w:rsidRDefault="005558C0" w:rsidP="0022185A">
      <w:pPr>
        <w:spacing w:after="480"/>
        <w:rPr>
          <w:b/>
        </w:rPr>
      </w:pPr>
      <w:r w:rsidRPr="00FA65C1">
        <w:rPr>
          <w:b/>
        </w:rPr>
        <w:t xml:space="preserve">UNFPA – </w:t>
      </w:r>
      <w:r w:rsidR="00CC199A" w:rsidRPr="00FA65C1">
        <w:rPr>
          <w:b/>
        </w:rPr>
        <w:t>Evaluation</w:t>
      </w:r>
    </w:p>
    <w:p w14:paraId="3B1FA264" w14:textId="77777777" w:rsidR="00011940" w:rsidRPr="00FA65C1" w:rsidRDefault="00B02CB8" w:rsidP="0098200F">
      <w:pPr>
        <w:spacing w:after="240"/>
        <w:jc w:val="center"/>
        <w:rPr>
          <w:b/>
          <w:sz w:val="28"/>
          <w:szCs w:val="28"/>
        </w:rPr>
      </w:pPr>
      <w:r w:rsidRPr="00FA65C1">
        <w:rPr>
          <w:b/>
          <w:sz w:val="28"/>
          <w:szCs w:val="28"/>
        </w:rPr>
        <w:t>U</w:t>
      </w:r>
      <w:r w:rsidR="00CE3BD0" w:rsidRPr="00FA65C1">
        <w:rPr>
          <w:b/>
          <w:sz w:val="28"/>
          <w:szCs w:val="28"/>
        </w:rPr>
        <w:t>nited Nations Population Fund</w:t>
      </w:r>
    </w:p>
    <w:p w14:paraId="47A5B94F" w14:textId="19177A78" w:rsidR="00B02CB8" w:rsidRDefault="00CF5322" w:rsidP="0098200F">
      <w:pPr>
        <w:spacing w:after="240"/>
        <w:jc w:val="center"/>
        <w:rPr>
          <w:b/>
          <w:sz w:val="22"/>
          <w:szCs w:val="24"/>
        </w:rPr>
      </w:pPr>
      <w:r>
        <w:rPr>
          <w:b/>
          <w:sz w:val="22"/>
          <w:szCs w:val="24"/>
        </w:rPr>
        <w:t xml:space="preserve">Annual </w:t>
      </w:r>
      <w:r w:rsidR="00C26F47">
        <w:rPr>
          <w:b/>
          <w:sz w:val="22"/>
          <w:szCs w:val="24"/>
        </w:rPr>
        <w:t>r</w:t>
      </w:r>
      <w:r w:rsidR="00B02CB8" w:rsidRPr="00FA65C1">
        <w:rPr>
          <w:b/>
          <w:sz w:val="22"/>
          <w:szCs w:val="24"/>
        </w:rPr>
        <w:t>eport o</w:t>
      </w:r>
      <w:r>
        <w:rPr>
          <w:b/>
          <w:sz w:val="22"/>
          <w:szCs w:val="24"/>
        </w:rPr>
        <w:t>n</w:t>
      </w:r>
      <w:r w:rsidR="00B02CB8" w:rsidRPr="00FA65C1">
        <w:rPr>
          <w:b/>
          <w:sz w:val="22"/>
          <w:szCs w:val="24"/>
        </w:rPr>
        <w:t xml:space="preserve"> the </w:t>
      </w:r>
      <w:r w:rsidR="00C26F47">
        <w:rPr>
          <w:b/>
          <w:sz w:val="22"/>
          <w:szCs w:val="24"/>
        </w:rPr>
        <w:t>e</w:t>
      </w:r>
      <w:r w:rsidR="00CC199A" w:rsidRPr="00FA65C1">
        <w:rPr>
          <w:b/>
          <w:sz w:val="22"/>
          <w:szCs w:val="24"/>
        </w:rPr>
        <w:t xml:space="preserve">valuation </w:t>
      </w:r>
      <w:r w:rsidR="00C26F47">
        <w:rPr>
          <w:b/>
          <w:sz w:val="22"/>
          <w:szCs w:val="24"/>
        </w:rPr>
        <w:t>f</w:t>
      </w:r>
      <w:r>
        <w:rPr>
          <w:b/>
          <w:sz w:val="22"/>
          <w:szCs w:val="24"/>
        </w:rPr>
        <w:t>unction</w:t>
      </w:r>
      <w:r w:rsidR="00CC199A" w:rsidRPr="00FA65C1">
        <w:rPr>
          <w:b/>
          <w:sz w:val="22"/>
          <w:szCs w:val="24"/>
        </w:rPr>
        <w:t>,</w:t>
      </w:r>
      <w:r w:rsidR="002A33E0" w:rsidRPr="00FA65C1">
        <w:rPr>
          <w:b/>
          <w:sz w:val="22"/>
          <w:szCs w:val="24"/>
        </w:rPr>
        <w:t xml:space="preserve"> 201</w:t>
      </w:r>
      <w:r w:rsidR="00521195" w:rsidRPr="00FA65C1">
        <w:rPr>
          <w:b/>
          <w:sz w:val="22"/>
          <w:szCs w:val="24"/>
        </w:rPr>
        <w:t>7</w:t>
      </w:r>
    </w:p>
    <w:p w14:paraId="383D6EB8" w14:textId="5102A09C" w:rsidR="00CF5322" w:rsidRPr="00FA65C1" w:rsidRDefault="00CF5322" w:rsidP="0098200F">
      <w:pPr>
        <w:spacing w:after="240"/>
        <w:jc w:val="center"/>
        <w:rPr>
          <w:b/>
          <w:sz w:val="22"/>
          <w:szCs w:val="24"/>
        </w:rPr>
      </w:pPr>
      <w:r>
        <w:rPr>
          <w:b/>
          <w:sz w:val="22"/>
          <w:szCs w:val="24"/>
        </w:rPr>
        <w:t>Report of the Director, Evaluation Office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tblGrid>
      <w:tr w:rsidR="00B81B6C" w:rsidRPr="00FA65C1" w14:paraId="01F04EBD" w14:textId="77777777" w:rsidTr="00ED427E">
        <w:trPr>
          <w:jc w:val="center"/>
        </w:trPr>
        <w:tc>
          <w:tcPr>
            <w:tcW w:w="7380" w:type="dxa"/>
            <w:shd w:val="clear" w:color="auto" w:fill="auto"/>
          </w:tcPr>
          <w:p w14:paraId="140111D3" w14:textId="23D4CD29" w:rsidR="00236E42" w:rsidRPr="00FA65C1" w:rsidRDefault="005558C0" w:rsidP="00164C98">
            <w:pPr>
              <w:spacing w:before="240" w:after="120"/>
              <w:ind w:left="432" w:right="-14"/>
              <w:rPr>
                <w:rFonts w:eastAsia="Calibri"/>
                <w:i/>
              </w:rPr>
            </w:pPr>
            <w:r w:rsidRPr="00FA65C1">
              <w:rPr>
                <w:rFonts w:eastAsia="Calibri"/>
                <w:i/>
              </w:rPr>
              <w:t>Summary</w:t>
            </w:r>
          </w:p>
          <w:p w14:paraId="53380B21" w14:textId="55BEAA37" w:rsidR="00236E42" w:rsidRPr="00FA65C1" w:rsidRDefault="00CC199A" w:rsidP="00164C98">
            <w:pPr>
              <w:spacing w:after="240"/>
              <w:ind w:left="432" w:right="346" w:firstLine="446"/>
              <w:jc w:val="both"/>
              <w:rPr>
                <w:rFonts w:eastAsia="Calibri"/>
              </w:rPr>
            </w:pPr>
            <w:r w:rsidRPr="00FA65C1">
              <w:rPr>
                <w:rFonts w:eastAsia="Calibri"/>
              </w:rPr>
              <w:t>The present report provides information on the performance of the evaluation function at corporate and decentralized levels, as well as the contribution of UNFPA to the United Nations coherence in evaluation, including system-wide evaluations, and national evaluation capacity development. In addition, the report presents the 2018 programme of work and budget for the Evaluation Office.</w:t>
            </w:r>
          </w:p>
          <w:p w14:paraId="5D58A073" w14:textId="479B907C" w:rsidR="00236E42" w:rsidRPr="00FA65C1" w:rsidRDefault="005558C0" w:rsidP="00164C98">
            <w:pPr>
              <w:spacing w:after="120"/>
              <w:ind w:left="432" w:right="346"/>
              <w:rPr>
                <w:rFonts w:eastAsia="Calibri"/>
                <w:i/>
              </w:rPr>
            </w:pPr>
            <w:r w:rsidRPr="00FA65C1">
              <w:rPr>
                <w:rFonts w:eastAsia="Calibri"/>
                <w:i/>
              </w:rPr>
              <w:t>Elements of a decision</w:t>
            </w:r>
          </w:p>
          <w:p w14:paraId="095AF832" w14:textId="304D5E98" w:rsidR="005F27B6" w:rsidRPr="00FA65C1" w:rsidRDefault="00CC199A" w:rsidP="0088082A">
            <w:pPr>
              <w:spacing w:after="360"/>
              <w:ind w:left="431" w:right="340" w:firstLine="442"/>
              <w:jc w:val="both"/>
              <w:rPr>
                <w:rFonts w:eastAsia="Calibri"/>
              </w:rPr>
            </w:pPr>
            <w:r w:rsidRPr="00FA65C1">
              <w:rPr>
                <w:rFonts w:eastAsia="Calibri"/>
              </w:rPr>
              <w:t>The Executive Board may wish to: (a) take note of the present report on the evaluation function of UNFPA, 2017, and of the programme of work and budget of the Evaluation Office in 2018; (b) welcome the efforts made by UNFPA and the significant progress achieved in strengthening the evaluation function, in actively contributing to United Nations system-wide evaluation efforts, and in fostering efforts for national evaluation capacity development; (c) reaffirm the role played by the evaluation function at UNFPA and underscore the importance of high-quality, independent evaluation evidence in the context of the new UNFPA Strategic Plan, 2018-2021, and its contribution to the implementation of the 2030 Agenda for Sustainable Development; (d) request UNFPA to present a revised evaluation policy to the Executive Board at its first regular session 2019</w:t>
            </w:r>
            <w:r w:rsidR="005558C0" w:rsidRPr="00FA65C1">
              <w:rPr>
                <w:rFonts w:eastAsia="Calibri"/>
              </w:rPr>
              <w:t xml:space="preserve">. </w:t>
            </w:r>
          </w:p>
        </w:tc>
      </w:tr>
    </w:tbl>
    <w:p w14:paraId="7B096174" w14:textId="77777777" w:rsidR="00011940" w:rsidRPr="00FA65C1" w:rsidRDefault="00011940" w:rsidP="001A2024">
      <w:pPr>
        <w:pStyle w:val="Header"/>
        <w:tabs>
          <w:tab w:val="clear" w:pos="4320"/>
          <w:tab w:val="clear" w:pos="8640"/>
          <w:tab w:val="left" w:pos="540"/>
          <w:tab w:val="left" w:pos="1080"/>
          <w:tab w:val="left" w:pos="1800"/>
          <w:tab w:val="right" w:leader="dot" w:pos="8910"/>
        </w:tabs>
        <w:rPr>
          <w:sz w:val="22"/>
        </w:rPr>
      </w:pPr>
    </w:p>
    <w:p w14:paraId="31EC9335" w14:textId="77777777" w:rsidR="006E5978" w:rsidRPr="00FA65C1" w:rsidRDefault="006E5978">
      <w:pPr>
        <w:rPr>
          <w:sz w:val="22"/>
        </w:rPr>
      </w:pPr>
      <w:r w:rsidRPr="00FA65C1">
        <w:rPr>
          <w:sz w:val="28"/>
          <w:szCs w:val="28"/>
        </w:rPr>
        <w:br w:type="page"/>
      </w:r>
    </w:p>
    <w:p w14:paraId="70C033F0" w14:textId="1364CD8E" w:rsidR="007B2068" w:rsidRPr="00FA65C1" w:rsidRDefault="007B2068" w:rsidP="00FF08A7">
      <w:pPr>
        <w:spacing w:after="120"/>
        <w:jc w:val="center"/>
        <w:rPr>
          <w:b/>
          <w:bCs/>
          <w:i/>
          <w:iCs/>
          <w:sz w:val="28"/>
        </w:rPr>
      </w:pPr>
      <w:r w:rsidRPr="00FA65C1">
        <w:rPr>
          <w:b/>
          <w:bCs/>
          <w:i/>
          <w:iCs/>
          <w:sz w:val="28"/>
        </w:rPr>
        <w:lastRenderedPageBreak/>
        <w:t>“We need a culture of independent and real-time evaluation</w:t>
      </w:r>
      <w:r w:rsidR="00FF08A7" w:rsidRPr="00FA65C1">
        <w:rPr>
          <w:b/>
          <w:bCs/>
          <w:i/>
          <w:iCs/>
          <w:sz w:val="28"/>
        </w:rPr>
        <w:br/>
      </w:r>
      <w:r w:rsidRPr="00FA65C1">
        <w:rPr>
          <w:b/>
          <w:bCs/>
          <w:i/>
          <w:iCs/>
          <w:sz w:val="28"/>
        </w:rPr>
        <w:t>with full transparency.”</w:t>
      </w:r>
    </w:p>
    <w:p w14:paraId="18956405" w14:textId="6B657ED3" w:rsidR="007B2068" w:rsidRPr="00FA65C1" w:rsidRDefault="007B2068" w:rsidP="007B2068">
      <w:pPr>
        <w:jc w:val="center"/>
        <w:rPr>
          <w:b/>
          <w:bCs/>
          <w:i/>
          <w:iCs/>
        </w:rPr>
      </w:pPr>
      <w:r w:rsidRPr="00FA65C1">
        <w:rPr>
          <w:b/>
          <w:bCs/>
          <w:i/>
          <w:iCs/>
        </w:rPr>
        <w:t xml:space="preserve">– </w:t>
      </w:r>
      <w:r w:rsidR="002E44FC" w:rsidRPr="002E44FC">
        <w:rPr>
          <w:b/>
          <w:bCs/>
          <w:i/>
          <w:iCs/>
        </w:rPr>
        <w:t>António Guterres</w:t>
      </w:r>
      <w:r w:rsidRPr="00FA65C1">
        <w:rPr>
          <w:b/>
          <w:bCs/>
          <w:i/>
          <w:iCs/>
        </w:rPr>
        <w:t>, Secretary-General of the United Nations</w:t>
      </w:r>
    </w:p>
    <w:p w14:paraId="3059E79F" w14:textId="77777777" w:rsidR="007B2068" w:rsidRPr="00FA65C1" w:rsidRDefault="007B2068" w:rsidP="007B2068">
      <w:pPr>
        <w:jc w:val="center"/>
      </w:pPr>
    </w:p>
    <w:p w14:paraId="60AB1513" w14:textId="489B269D" w:rsidR="00236E42" w:rsidRPr="00FA65C1" w:rsidRDefault="006924CF" w:rsidP="009E3F6C">
      <w:pPr>
        <w:pStyle w:val="Heading11"/>
      </w:pPr>
      <w:r w:rsidRPr="00FA65C1">
        <w:t>Introduction</w:t>
      </w:r>
      <w:r w:rsidR="009E3F6C" w:rsidRPr="00FA65C1">
        <w:br/>
        <w:t>Working together to support implementation of the 2030 Agenda for Sustainable Development</w:t>
      </w:r>
    </w:p>
    <w:p w14:paraId="128F4316" w14:textId="66467BEA" w:rsidR="009E3F6C" w:rsidRPr="00FA65C1" w:rsidRDefault="009E3F6C" w:rsidP="009E3F6C">
      <w:pPr>
        <w:pStyle w:val="NUM1para"/>
      </w:pPr>
      <w:r w:rsidRPr="00FA65C1">
        <w:t>In the common chapter of the</w:t>
      </w:r>
      <w:r w:rsidR="00453786" w:rsidRPr="00FA65C1">
        <w:t>ir</w:t>
      </w:r>
      <w:r w:rsidRPr="00FA65C1">
        <w:t xml:space="preserve"> </w:t>
      </w:r>
      <w:r w:rsidR="00453786" w:rsidRPr="00FA65C1">
        <w:t>respective s</w:t>
      </w:r>
      <w:r w:rsidRPr="00FA65C1">
        <w:t xml:space="preserve">trategic </w:t>
      </w:r>
      <w:r w:rsidR="00453786" w:rsidRPr="00FA65C1">
        <w:t>p</w:t>
      </w:r>
      <w:r w:rsidRPr="00FA65C1">
        <w:t>lan</w:t>
      </w:r>
      <w:r w:rsidR="00453786" w:rsidRPr="00FA65C1">
        <w:t>s for 2018-2021</w:t>
      </w:r>
      <w:r w:rsidRPr="00FA65C1">
        <w:t xml:space="preserve">, </w:t>
      </w:r>
      <w:r w:rsidR="00453786" w:rsidRPr="00FA65C1">
        <w:t xml:space="preserve">UNDP, </w:t>
      </w:r>
      <w:r w:rsidRPr="00FA65C1">
        <w:t>UNFPA, UNICEF and UN-Women committed to working better together, characterized by stronger coherence and collaboration. The four entities welcomed the United Nations Secretary-General’s report on repositioning the United Nations development system to deliver on the 2030 Agenda for Sustainable Development, and committed to step up joint efforts, with a sense of urgency, to better support countries to achieve sustainable development, including by working together more effectively at all levels, and by enhancing multi-stakeholder partnerships.</w:t>
      </w:r>
    </w:p>
    <w:p w14:paraId="1D0D7019" w14:textId="66BAF7CC" w:rsidR="009E3F6C" w:rsidRPr="00FA65C1" w:rsidRDefault="009E3F6C" w:rsidP="009E3F6C">
      <w:pPr>
        <w:pStyle w:val="NUM1para"/>
      </w:pPr>
      <w:r w:rsidRPr="00FA65C1">
        <w:t xml:space="preserve">The evaluation function at UNFPA, being fully aligned to the </w:t>
      </w:r>
      <w:r w:rsidR="00453786" w:rsidRPr="00FA65C1">
        <w:t xml:space="preserve">UNFPA </w:t>
      </w:r>
      <w:r w:rsidRPr="00FA65C1">
        <w:t xml:space="preserve">Strategic Plan, </w:t>
      </w:r>
      <w:r w:rsidR="00453786" w:rsidRPr="00FA65C1">
        <w:t xml:space="preserve">2018-2021, </w:t>
      </w:r>
      <w:r w:rsidRPr="00FA65C1">
        <w:t>is also fully committed to the above</w:t>
      </w:r>
      <w:r w:rsidR="00453786" w:rsidRPr="00FA65C1">
        <w:t>-</w:t>
      </w:r>
      <w:r w:rsidRPr="00FA65C1">
        <w:t>mentioned principles, by enhancing coherence in the evaluation function in the U</w:t>
      </w:r>
      <w:r w:rsidR="00453786" w:rsidRPr="00FA65C1">
        <w:t xml:space="preserve">nited </w:t>
      </w:r>
      <w:r w:rsidRPr="00FA65C1">
        <w:t>N</w:t>
      </w:r>
      <w:r w:rsidR="00453786" w:rsidRPr="00FA65C1">
        <w:t>ations</w:t>
      </w:r>
      <w:r w:rsidRPr="00FA65C1">
        <w:t xml:space="preserve"> system in the following </w:t>
      </w:r>
      <w:r w:rsidR="00453786" w:rsidRPr="00FA65C1">
        <w:t>four</w:t>
      </w:r>
      <w:r w:rsidRPr="00FA65C1">
        <w:t xml:space="preserve"> areas:</w:t>
      </w:r>
    </w:p>
    <w:p w14:paraId="27922A8A" w14:textId="2231FA95" w:rsidR="009E3F6C" w:rsidRPr="00FA65C1" w:rsidRDefault="009E3F6C" w:rsidP="009E3F6C">
      <w:pPr>
        <w:pStyle w:val="NUM1para"/>
      </w:pPr>
      <w:r w:rsidRPr="00FA65C1">
        <w:rPr>
          <w:i/>
        </w:rPr>
        <w:t>Joint evaluations</w:t>
      </w:r>
      <w:r w:rsidRPr="00FA65C1">
        <w:t xml:space="preserve">. In the </w:t>
      </w:r>
      <w:r w:rsidR="001003F6" w:rsidRPr="00FA65C1">
        <w:t>q</w:t>
      </w:r>
      <w:r w:rsidRPr="00FA65C1">
        <w:t xml:space="preserve">uadrennial </w:t>
      </w:r>
      <w:r w:rsidR="001003F6" w:rsidRPr="00FA65C1">
        <w:t>budgeted e</w:t>
      </w:r>
      <w:r w:rsidRPr="00FA65C1">
        <w:t xml:space="preserve">valuation </w:t>
      </w:r>
      <w:r w:rsidR="001003F6" w:rsidRPr="00FA65C1">
        <w:t>p</w:t>
      </w:r>
      <w:r w:rsidRPr="00FA65C1">
        <w:t>lan</w:t>
      </w:r>
      <w:r w:rsidR="001003F6" w:rsidRPr="00FA65C1">
        <w:t>,</w:t>
      </w:r>
      <w:r w:rsidR="003A656D" w:rsidRPr="00FA65C1">
        <w:t xml:space="preserve"> </w:t>
      </w:r>
      <w:r w:rsidR="00453786" w:rsidRPr="00FA65C1">
        <w:t>2018-2021</w:t>
      </w:r>
      <w:r w:rsidR="00DB5F9B" w:rsidRPr="00FA65C1">
        <w:t>,</w:t>
      </w:r>
      <w:r w:rsidR="00453786" w:rsidRPr="00FA65C1">
        <w:t xml:space="preserve"> </w:t>
      </w:r>
      <w:r w:rsidRPr="00FA65C1">
        <w:t xml:space="preserve">UNFPA committed to manage three corporate evaluations jointly with UNICEF. In addition, </w:t>
      </w:r>
      <w:r w:rsidR="00DB5F9B" w:rsidRPr="00FA65C1">
        <w:t>the UNFPA E</w:t>
      </w:r>
      <w:r w:rsidRPr="00FA65C1">
        <w:t xml:space="preserve">valuation </w:t>
      </w:r>
      <w:r w:rsidR="00DB5F9B" w:rsidRPr="00FA65C1">
        <w:t>O</w:t>
      </w:r>
      <w:r w:rsidRPr="00FA65C1">
        <w:t xml:space="preserve">ffice </w:t>
      </w:r>
      <w:r w:rsidR="00CF5322">
        <w:t xml:space="preserve">is fully committed to </w:t>
      </w:r>
      <w:r w:rsidRPr="00FA65C1">
        <w:t>evaluat</w:t>
      </w:r>
      <w:r w:rsidR="00C26F47">
        <w:t>ing</w:t>
      </w:r>
      <w:r w:rsidRPr="00FA65C1">
        <w:t xml:space="preserve"> the common chapter of the </w:t>
      </w:r>
      <w:r w:rsidR="00DB5F9B" w:rsidRPr="00FA65C1">
        <w:t>s</w:t>
      </w:r>
      <w:r w:rsidRPr="00FA65C1">
        <w:t xml:space="preserve">trategic </w:t>
      </w:r>
      <w:r w:rsidR="00DB5F9B" w:rsidRPr="00FA65C1">
        <w:t>p</w:t>
      </w:r>
      <w:r w:rsidRPr="00FA65C1">
        <w:t>lan</w:t>
      </w:r>
      <w:r w:rsidR="00DB5F9B" w:rsidRPr="00FA65C1">
        <w:t>s</w:t>
      </w:r>
      <w:r w:rsidRPr="00FA65C1">
        <w:t xml:space="preserve"> </w:t>
      </w:r>
      <w:r w:rsidR="00DB5F9B" w:rsidRPr="00FA65C1">
        <w:t xml:space="preserve">for </w:t>
      </w:r>
      <w:r w:rsidRPr="00FA65C1">
        <w:t>2018-2021</w:t>
      </w:r>
      <w:r w:rsidR="00EB6C76">
        <w:t xml:space="preserve"> </w:t>
      </w:r>
      <w:r w:rsidR="00EB6C76" w:rsidRPr="00EB6C76">
        <w:t>jointly</w:t>
      </w:r>
      <w:r w:rsidR="00EB6C76">
        <w:t xml:space="preserve"> </w:t>
      </w:r>
      <w:r w:rsidR="00EB6C76" w:rsidRPr="00EB6C76">
        <w:t xml:space="preserve">with </w:t>
      </w:r>
      <w:r w:rsidR="00EB6C76">
        <w:t xml:space="preserve">the </w:t>
      </w:r>
      <w:r w:rsidR="00EB6C76" w:rsidRPr="00EB6C76">
        <w:t xml:space="preserve">evaluation offices </w:t>
      </w:r>
      <w:r w:rsidR="00EB6C76">
        <w:t xml:space="preserve">of </w:t>
      </w:r>
      <w:r w:rsidR="00EB6C76" w:rsidRPr="00EB6C76">
        <w:t>UNDP, UNICEF and UN-Women</w:t>
      </w:r>
      <w:r w:rsidR="00C26F47" w:rsidRPr="00EB6C76">
        <w:t>,</w:t>
      </w:r>
      <w:r w:rsidR="00C26F47">
        <w:t xml:space="preserve"> </w:t>
      </w:r>
      <w:r w:rsidR="00C26F47" w:rsidRPr="00C26F47">
        <w:t xml:space="preserve">and is already working </w:t>
      </w:r>
      <w:r w:rsidR="00C26F47">
        <w:t>on this</w:t>
      </w:r>
      <w:r w:rsidR="00EB6C76">
        <w:t xml:space="preserve"> with the other evaluation offices</w:t>
      </w:r>
      <w:r w:rsidRPr="00C26F47">
        <w:t>.</w:t>
      </w:r>
    </w:p>
    <w:p w14:paraId="2D76BBD9" w14:textId="5F640C2A" w:rsidR="009E3F6C" w:rsidRPr="00FA65C1" w:rsidRDefault="009E3F6C" w:rsidP="009E3F6C">
      <w:pPr>
        <w:pStyle w:val="NUM1para"/>
      </w:pPr>
      <w:r w:rsidRPr="00FA65C1">
        <w:rPr>
          <w:i/>
        </w:rPr>
        <w:t>System-wide evaluation</w:t>
      </w:r>
      <w:r w:rsidRPr="00FA65C1">
        <w:t>. Recognizing the strategic importance of evaluating the U</w:t>
      </w:r>
      <w:r w:rsidR="00DB5F9B" w:rsidRPr="00FA65C1">
        <w:t xml:space="preserve">nited </w:t>
      </w:r>
      <w:r w:rsidRPr="00FA65C1">
        <w:t>N</w:t>
      </w:r>
      <w:r w:rsidR="00DB5F9B" w:rsidRPr="00FA65C1">
        <w:t>ations</w:t>
      </w:r>
      <w:r w:rsidRPr="00FA65C1">
        <w:t xml:space="preserve"> system response to humanitarian cris</w:t>
      </w:r>
      <w:r w:rsidR="00DB5F9B" w:rsidRPr="00FA65C1">
        <w:t>e</w:t>
      </w:r>
      <w:r w:rsidRPr="00FA65C1">
        <w:t xml:space="preserve">s, UNFPA is committed, as indicated in the </w:t>
      </w:r>
      <w:r w:rsidR="00FA65C1" w:rsidRPr="00FA65C1">
        <w:t>q</w:t>
      </w:r>
      <w:r w:rsidRPr="00FA65C1">
        <w:t xml:space="preserve">uadrennial </w:t>
      </w:r>
      <w:r w:rsidR="00FA65C1" w:rsidRPr="00FA65C1">
        <w:t>e</w:t>
      </w:r>
      <w:r w:rsidRPr="00FA65C1">
        <w:t xml:space="preserve">valuation </w:t>
      </w:r>
      <w:r w:rsidR="00FA65C1" w:rsidRPr="00FA65C1">
        <w:t>p</w:t>
      </w:r>
      <w:r w:rsidRPr="00FA65C1">
        <w:t>lan, to co-lead two system-wide evaluations within the framework of the Inter-Agency Humanitarian Evaluation Group (IAHE). In addition, UNFPA also contributed</w:t>
      </w:r>
      <w:r w:rsidR="003A656D" w:rsidRPr="00FA65C1">
        <w:t xml:space="preserve">, in 2016-2017, </w:t>
      </w:r>
      <w:r w:rsidRPr="00FA65C1">
        <w:t>to the two pilot system-wide evaluative exercises led by</w:t>
      </w:r>
      <w:r w:rsidR="003A656D" w:rsidRPr="00FA65C1">
        <w:t xml:space="preserve"> the Joint Inspection Unit</w:t>
      </w:r>
      <w:r w:rsidRPr="00FA65C1">
        <w:t xml:space="preserve"> </w:t>
      </w:r>
      <w:r w:rsidR="003A656D" w:rsidRPr="00FA65C1">
        <w:t>(</w:t>
      </w:r>
      <w:r w:rsidRPr="00FA65C1">
        <w:t>JIU</w:t>
      </w:r>
      <w:r w:rsidR="003A656D" w:rsidRPr="00FA65C1">
        <w:t>)</w:t>
      </w:r>
      <w:r w:rsidRPr="00FA65C1">
        <w:t xml:space="preserve">. </w:t>
      </w:r>
    </w:p>
    <w:p w14:paraId="3F114F82" w14:textId="0625BDBB" w:rsidR="009E3F6C" w:rsidRPr="00FA65C1" w:rsidRDefault="009E3F6C" w:rsidP="009E3F6C">
      <w:pPr>
        <w:pStyle w:val="NUM1para"/>
      </w:pPr>
      <w:r w:rsidRPr="00FA65C1">
        <w:rPr>
          <w:i/>
        </w:rPr>
        <w:t xml:space="preserve">Enhancing coherence of evaluation functions </w:t>
      </w:r>
      <w:r w:rsidRPr="00FA65C1">
        <w:t>among different entities in the U</w:t>
      </w:r>
      <w:r w:rsidR="003A656D" w:rsidRPr="00FA65C1">
        <w:t xml:space="preserve">nited </w:t>
      </w:r>
      <w:r w:rsidRPr="00FA65C1">
        <w:t>N</w:t>
      </w:r>
      <w:r w:rsidR="003A656D" w:rsidRPr="00FA65C1">
        <w:t>ations</w:t>
      </w:r>
      <w:r w:rsidRPr="00FA65C1">
        <w:t xml:space="preserve"> system, through actively supporting the United Nations Evaluation Group (UNEG) and IAHE. </w:t>
      </w:r>
    </w:p>
    <w:p w14:paraId="1623FDFE" w14:textId="6D63F91A" w:rsidR="009E3F6C" w:rsidRPr="00FA65C1" w:rsidRDefault="009E3F6C" w:rsidP="009E3F6C">
      <w:pPr>
        <w:pStyle w:val="NUM1para"/>
      </w:pPr>
      <w:r w:rsidRPr="00FA65C1">
        <w:rPr>
          <w:i/>
        </w:rPr>
        <w:t>Joining forces with other U</w:t>
      </w:r>
      <w:r w:rsidR="00E30D59" w:rsidRPr="00FA65C1">
        <w:rPr>
          <w:i/>
        </w:rPr>
        <w:t xml:space="preserve">nited </w:t>
      </w:r>
      <w:r w:rsidRPr="00FA65C1">
        <w:rPr>
          <w:i/>
        </w:rPr>
        <w:t>N</w:t>
      </w:r>
      <w:r w:rsidR="00E30D59" w:rsidRPr="00FA65C1">
        <w:rPr>
          <w:i/>
        </w:rPr>
        <w:t>ations</w:t>
      </w:r>
      <w:r w:rsidRPr="00FA65C1">
        <w:rPr>
          <w:i/>
        </w:rPr>
        <w:t xml:space="preserve"> entities</w:t>
      </w:r>
      <w:r w:rsidRPr="00FA65C1">
        <w:t xml:space="preserve"> </w:t>
      </w:r>
      <w:r w:rsidRPr="00CF5322">
        <w:rPr>
          <w:i/>
        </w:rPr>
        <w:t xml:space="preserve">in multi-stakeholders partnerships for strengthening national capacities to evaluate localized </w:t>
      </w:r>
      <w:r w:rsidR="00E30D59" w:rsidRPr="00CF5322">
        <w:rPr>
          <w:i/>
        </w:rPr>
        <w:t>Sustainable Development Goals (</w:t>
      </w:r>
      <w:r w:rsidRPr="00CF5322">
        <w:rPr>
          <w:i/>
        </w:rPr>
        <w:t>SDGs</w:t>
      </w:r>
      <w:r w:rsidR="00E30D59" w:rsidRPr="00CF5322">
        <w:rPr>
          <w:i/>
        </w:rPr>
        <w:t>),</w:t>
      </w:r>
      <w:r w:rsidRPr="00FA65C1">
        <w:t xml:space="preserve"> with a special focus on </w:t>
      </w:r>
      <w:r w:rsidR="00E30D59" w:rsidRPr="00FA65C1">
        <w:t>‘</w:t>
      </w:r>
      <w:r w:rsidRPr="00FA65C1">
        <w:t>no one left behind</w:t>
      </w:r>
      <w:r w:rsidR="00E30D59" w:rsidRPr="00FA65C1">
        <w:t>’</w:t>
      </w:r>
      <w:r w:rsidRPr="00FA65C1">
        <w:t xml:space="preserve">. UNFPA continues to be an active member of EvalPartners, the global multi-stakeholders partnership for national evaluation capacities, co-led by UNEG and </w:t>
      </w:r>
      <w:r w:rsidR="00E30D59" w:rsidRPr="00FA65C1">
        <w:t>the International Organization for Cooperation in Evaluation (</w:t>
      </w:r>
      <w:r w:rsidRPr="00FA65C1">
        <w:t>IOCE</w:t>
      </w:r>
      <w:r w:rsidR="00E30D59" w:rsidRPr="00FA65C1">
        <w:t>)</w:t>
      </w:r>
      <w:r w:rsidRPr="00FA65C1">
        <w:t>, as well as Evalgender+, co-led by UN</w:t>
      </w:r>
      <w:r w:rsidR="00D754CE" w:rsidRPr="00FA65C1">
        <w:t>-</w:t>
      </w:r>
      <w:r w:rsidRPr="00FA65C1">
        <w:t xml:space="preserve">Women. In addition, UNFPA initiated </w:t>
      </w:r>
      <w:r w:rsidR="00D754CE" w:rsidRPr="00FA65C1">
        <w:t xml:space="preserve">in 2017 </w:t>
      </w:r>
      <w:r w:rsidRPr="00FA65C1">
        <w:t xml:space="preserve">a partnership with EvalYouth, an EvalPartners’ global movement to strengthen capacities of young evaluators. </w:t>
      </w:r>
    </w:p>
    <w:p w14:paraId="186C9B13" w14:textId="675E797D" w:rsidR="009E3F6C" w:rsidRPr="00FA65C1" w:rsidRDefault="009E3F6C" w:rsidP="009E3F6C">
      <w:pPr>
        <w:pStyle w:val="Heading11"/>
      </w:pPr>
      <w:bookmarkStart w:id="0" w:name="_Toc505873962"/>
      <w:r w:rsidRPr="00FA65C1">
        <w:t xml:space="preserve">UNFPA </w:t>
      </w:r>
      <w:r w:rsidR="00F93469" w:rsidRPr="00FA65C1">
        <w:t>e</w:t>
      </w:r>
      <w:r w:rsidRPr="00FA65C1">
        <w:t xml:space="preserve">valuation </w:t>
      </w:r>
      <w:r w:rsidR="00F93469" w:rsidRPr="00FA65C1">
        <w:t>f</w:t>
      </w:r>
      <w:r w:rsidRPr="00FA65C1">
        <w:t>unction</w:t>
      </w:r>
    </w:p>
    <w:p w14:paraId="3EF60D25" w14:textId="5F91B6E2" w:rsidR="009E3F6C" w:rsidRPr="00FA65C1" w:rsidRDefault="009E3F6C" w:rsidP="00F93469">
      <w:pPr>
        <w:pStyle w:val="Heading21"/>
      </w:pPr>
      <w:r w:rsidRPr="00FA65C1">
        <w:t xml:space="preserve">Aligning the evaluation function </w:t>
      </w:r>
      <w:bookmarkEnd w:id="0"/>
      <w:r w:rsidRPr="00FA65C1">
        <w:t xml:space="preserve">to the </w:t>
      </w:r>
      <w:r w:rsidR="00F93469" w:rsidRPr="00FA65C1">
        <w:t xml:space="preserve">UNFPA </w:t>
      </w:r>
      <w:r w:rsidRPr="00FA65C1">
        <w:t>Strategic Plan</w:t>
      </w:r>
      <w:r w:rsidR="00F93469" w:rsidRPr="00FA65C1">
        <w:t xml:space="preserve">, </w:t>
      </w:r>
      <w:r w:rsidRPr="00FA65C1">
        <w:t>2018-2021</w:t>
      </w:r>
    </w:p>
    <w:p w14:paraId="60CB67AA" w14:textId="574D33DB" w:rsidR="009E3F6C" w:rsidRPr="00FA65C1" w:rsidRDefault="009E3F6C" w:rsidP="009E3F6C">
      <w:pPr>
        <w:pStyle w:val="NUM1para"/>
      </w:pPr>
      <w:r w:rsidRPr="00FA65C1">
        <w:t xml:space="preserve">The UNFPA evaluation </w:t>
      </w:r>
      <w:r w:rsidR="00CF5322">
        <w:t xml:space="preserve">function </w:t>
      </w:r>
      <w:r w:rsidRPr="00FA65C1">
        <w:t>serves three main purposes: (</w:t>
      </w:r>
      <w:r w:rsidR="00FF08A7" w:rsidRPr="00FA65C1">
        <w:t>a</w:t>
      </w:r>
      <w:r w:rsidRPr="00FA65C1">
        <w:t>) demonstrate accountability to stakeholders on performance achieved;</w:t>
      </w:r>
      <w:r w:rsidRPr="00FA65C1" w:rsidDel="00A329BA">
        <w:t xml:space="preserve"> </w:t>
      </w:r>
      <w:r w:rsidRPr="00FA65C1">
        <w:t>(</w:t>
      </w:r>
      <w:r w:rsidR="00FF08A7" w:rsidRPr="00FA65C1">
        <w:t>b</w:t>
      </w:r>
      <w:r w:rsidRPr="00FA65C1">
        <w:t>) support evidence-based decision-</w:t>
      </w:r>
      <w:r w:rsidRPr="00FA65C1">
        <w:lastRenderedPageBreak/>
        <w:t>making;</w:t>
      </w:r>
      <w:r w:rsidRPr="00FA65C1" w:rsidDel="00A329BA">
        <w:t xml:space="preserve"> </w:t>
      </w:r>
      <w:r w:rsidRPr="00FA65C1">
        <w:t>and (</w:t>
      </w:r>
      <w:r w:rsidR="00FF08A7" w:rsidRPr="00FA65C1">
        <w:t>c</w:t>
      </w:r>
      <w:r w:rsidRPr="00FA65C1">
        <w:t>) contribute important lessons learned to the knowledge base of the organization. As foreseen by the policy,</w:t>
      </w:r>
      <w:r w:rsidRPr="00FA65C1">
        <w:rPr>
          <w:vertAlign w:val="superscript"/>
        </w:rPr>
        <w:footnoteReference w:id="1"/>
      </w:r>
      <w:r w:rsidRPr="00FA65C1">
        <w:t xml:space="preserve"> </w:t>
      </w:r>
      <w:r w:rsidR="00CF5322">
        <w:t>UNFPA</w:t>
      </w:r>
      <w:r w:rsidR="002E44FC">
        <w:t xml:space="preserve"> undertook </w:t>
      </w:r>
      <w:r w:rsidR="00D2191F" w:rsidRPr="00FA65C1">
        <w:t xml:space="preserve">a review of </w:t>
      </w:r>
      <w:r w:rsidR="00D754CE" w:rsidRPr="00FA65C1">
        <w:t xml:space="preserve">the </w:t>
      </w:r>
      <w:r w:rsidRPr="00FA65C1">
        <w:t xml:space="preserve">UNFPA evaluation function </w:t>
      </w:r>
      <w:r w:rsidR="00FF08A7" w:rsidRPr="00FA65C1">
        <w:t>during</w:t>
      </w:r>
      <w:r w:rsidRPr="00FA65C1">
        <w:t xml:space="preserve"> 2017-2018</w:t>
      </w:r>
      <w:r w:rsidR="00D754CE" w:rsidRPr="00FA65C1">
        <w:t xml:space="preserve">, </w:t>
      </w:r>
      <w:r w:rsidR="00036E1E" w:rsidRPr="00FA65C1">
        <w:t>focusing</w:t>
      </w:r>
      <w:r w:rsidR="00D754CE" w:rsidRPr="00FA65C1">
        <w:t xml:space="preserve"> on </w:t>
      </w:r>
      <w:r w:rsidRPr="00FA65C1">
        <w:t>review</w:t>
      </w:r>
      <w:r w:rsidR="00D2191F" w:rsidRPr="00FA65C1">
        <w:t>ing</w:t>
      </w:r>
      <w:r w:rsidRPr="00FA65C1">
        <w:t xml:space="preserve"> the evaluation function against UNEG norms and standards. Key highlights of the review, including findings and recommendations, are presented in </w:t>
      </w:r>
      <w:r w:rsidR="00036E1E" w:rsidRPr="00FA65C1">
        <w:t>this</w:t>
      </w:r>
      <w:r w:rsidRPr="00FA65C1">
        <w:t xml:space="preserve"> report. </w:t>
      </w:r>
    </w:p>
    <w:p w14:paraId="7654CF87" w14:textId="34168976" w:rsidR="009E3F6C" w:rsidRPr="00FA65C1" w:rsidRDefault="009E3F6C" w:rsidP="009E3F6C">
      <w:pPr>
        <w:pStyle w:val="NUM1para"/>
      </w:pPr>
      <w:r w:rsidRPr="00FA65C1">
        <w:t xml:space="preserve">With the aim of re-aligning the evaluation function to the </w:t>
      </w:r>
      <w:r w:rsidR="00036E1E" w:rsidRPr="00FA65C1">
        <w:t xml:space="preserve">UNFPA </w:t>
      </w:r>
      <w:r w:rsidR="001469C3">
        <w:t>s</w:t>
      </w:r>
      <w:r w:rsidRPr="00FA65C1">
        <w:t xml:space="preserve">trategic </w:t>
      </w:r>
      <w:r w:rsidR="001469C3">
        <w:t>p</w:t>
      </w:r>
      <w:r w:rsidRPr="00FA65C1">
        <w:t xml:space="preserve">lan, </w:t>
      </w:r>
      <w:r w:rsidR="00D2191F" w:rsidRPr="00FA65C1">
        <w:t xml:space="preserve">2018-2021, </w:t>
      </w:r>
      <w:r w:rsidRPr="00FA65C1">
        <w:t xml:space="preserve">the </w:t>
      </w:r>
      <w:r w:rsidR="00FA65C1" w:rsidRPr="00FA65C1">
        <w:t xml:space="preserve">Evaluation Office </w:t>
      </w:r>
      <w:r w:rsidRPr="00FA65C1">
        <w:t xml:space="preserve">produced a number of </w:t>
      </w:r>
      <w:r w:rsidR="00CF5322">
        <w:t xml:space="preserve">strategic </w:t>
      </w:r>
      <w:r w:rsidRPr="00FA65C1">
        <w:t>documents</w:t>
      </w:r>
      <w:r w:rsidR="00036E1E" w:rsidRPr="00FA65C1">
        <w:t xml:space="preserve"> in 2017</w:t>
      </w:r>
      <w:r w:rsidRPr="00FA65C1">
        <w:t>. The</w:t>
      </w:r>
      <w:r w:rsidR="00036E1E" w:rsidRPr="00FA65C1">
        <w:t xml:space="preserve"> </w:t>
      </w:r>
      <w:r w:rsidR="00FA65C1" w:rsidRPr="00FA65C1">
        <w:t>q</w:t>
      </w:r>
      <w:r w:rsidRPr="00FA65C1">
        <w:t xml:space="preserve">uadrennial </w:t>
      </w:r>
      <w:r w:rsidR="00FA65C1" w:rsidRPr="00FA65C1">
        <w:t>b</w:t>
      </w:r>
      <w:r w:rsidRPr="00FA65C1">
        <w:t xml:space="preserve">udgeted </w:t>
      </w:r>
      <w:r w:rsidR="00FA65C1" w:rsidRPr="00FA65C1">
        <w:t>e</w:t>
      </w:r>
      <w:r w:rsidRPr="00FA65C1">
        <w:t xml:space="preserve">valuation </w:t>
      </w:r>
      <w:r w:rsidR="00FA65C1" w:rsidRPr="00FA65C1">
        <w:t>p</w:t>
      </w:r>
      <w:r w:rsidRPr="00FA65C1">
        <w:t>lan, 2018-2021</w:t>
      </w:r>
      <w:r w:rsidR="00FA65C1" w:rsidRPr="00FA65C1">
        <w:t>,</w:t>
      </w:r>
      <w:r w:rsidRPr="00FA65C1">
        <w:t xml:space="preserve"> adopted by the Executive Board at </w:t>
      </w:r>
      <w:r w:rsidR="00FA65C1" w:rsidRPr="00FA65C1">
        <w:t>its</w:t>
      </w:r>
      <w:r w:rsidRPr="00FA65C1">
        <w:t xml:space="preserve"> first regular session</w:t>
      </w:r>
      <w:r w:rsidR="00FA65C1" w:rsidRPr="00FA65C1">
        <w:t xml:space="preserve"> 2018</w:t>
      </w:r>
      <w:r w:rsidRPr="00FA65C1">
        <w:t>, guides the commissioning, management and use of evaluations, providing the basis for monitoring and reporting on the implementation of corporate and decentralized programme</w:t>
      </w:r>
      <w:r w:rsidR="00FA65C1" w:rsidRPr="00FA65C1">
        <w:t>-</w:t>
      </w:r>
      <w:r w:rsidRPr="00FA65C1">
        <w:t xml:space="preserve">level evaluations. </w:t>
      </w:r>
    </w:p>
    <w:p w14:paraId="2EAA6807" w14:textId="2B0425DE" w:rsidR="009E3F6C" w:rsidRPr="00FA65C1" w:rsidRDefault="009E3F6C" w:rsidP="009E3F6C">
      <w:pPr>
        <w:pStyle w:val="NUM1para"/>
      </w:pPr>
      <w:r w:rsidRPr="00FA65C1">
        <w:t>In 2017, the Evaluation Office developed the evaluation strategy</w:t>
      </w:r>
      <w:r w:rsidR="005804B9" w:rsidRPr="005804B9">
        <w:t>, 2018-2021,</w:t>
      </w:r>
      <w:r w:rsidRPr="00FA65C1">
        <w:rPr>
          <w:vertAlign w:val="superscript"/>
        </w:rPr>
        <w:footnoteReference w:id="2"/>
      </w:r>
      <w:r w:rsidR="005804B9">
        <w:t xml:space="preserve"> </w:t>
      </w:r>
      <w:r w:rsidRPr="00FA65C1">
        <w:t>to support UNFPA in strengthening its</w:t>
      </w:r>
      <w:r w:rsidR="00EA0A7B">
        <w:t xml:space="preserve"> performance and accountability</w:t>
      </w:r>
      <w:r w:rsidRPr="00FA65C1">
        <w:t xml:space="preserve"> as well as its contribution t</w:t>
      </w:r>
      <w:r w:rsidR="00AC2677">
        <w:t xml:space="preserve">o the achievements of the SDGs. </w:t>
      </w:r>
      <w:r w:rsidR="001469C3">
        <w:t>F</w:t>
      </w:r>
      <w:r w:rsidRPr="00FA65C1">
        <w:t xml:space="preserve">ramed by </w:t>
      </w:r>
      <w:r w:rsidR="005804B9">
        <w:t xml:space="preserve">the </w:t>
      </w:r>
      <w:r w:rsidRPr="00FA65C1">
        <w:t>UNFPA</w:t>
      </w:r>
      <w:r w:rsidR="005804B9">
        <w:t xml:space="preserve"> </w:t>
      </w:r>
      <w:r w:rsidRPr="00FA65C1">
        <w:t xml:space="preserve">strategic plan and the broader set of directions adopted by the </w:t>
      </w:r>
      <w:r w:rsidR="005804B9">
        <w:t xml:space="preserve">United Nations </w:t>
      </w:r>
      <w:r w:rsidRPr="00FA65C1">
        <w:t>system</w:t>
      </w:r>
      <w:r w:rsidR="001469C3">
        <w:t>, t</w:t>
      </w:r>
      <w:r w:rsidRPr="00FA65C1">
        <w:t xml:space="preserve">he </w:t>
      </w:r>
      <w:r w:rsidR="001469C3">
        <w:t xml:space="preserve">evaluation </w:t>
      </w:r>
      <w:r w:rsidRPr="00FA65C1">
        <w:t xml:space="preserve">strategy provides a clear direction for the UNFPA evaluation function, setting priorities to strengthen evaluation operations. </w:t>
      </w:r>
    </w:p>
    <w:p w14:paraId="5A65A34B" w14:textId="30D33A9F" w:rsidR="009E3F6C" w:rsidRPr="005804B9" w:rsidRDefault="009E3F6C" w:rsidP="009E3F6C">
      <w:pPr>
        <w:pStyle w:val="NUM1para"/>
      </w:pPr>
      <w:r w:rsidRPr="00FA65C1">
        <w:t xml:space="preserve">The </w:t>
      </w:r>
      <w:r w:rsidR="001469C3">
        <w:t>e</w:t>
      </w:r>
      <w:r w:rsidRPr="00FA65C1">
        <w:t xml:space="preserve">valuation </w:t>
      </w:r>
      <w:r w:rsidR="001469C3">
        <w:t>s</w:t>
      </w:r>
      <w:r w:rsidRPr="00FA65C1">
        <w:t>trategy is complemented by a</w:t>
      </w:r>
      <w:r w:rsidR="001469C3">
        <w:t>n</w:t>
      </w:r>
      <w:r w:rsidRPr="00FA65C1">
        <w:t xml:space="preserve"> action plan for evaluation capacity development</w:t>
      </w:r>
      <w:r w:rsidR="001469C3">
        <w:t xml:space="preserve"> during </w:t>
      </w:r>
      <w:r w:rsidR="001469C3" w:rsidRPr="001469C3">
        <w:t>2018-2021</w:t>
      </w:r>
      <w:r w:rsidRPr="001469C3">
        <w:t>,</w:t>
      </w:r>
      <w:r w:rsidRPr="00FA65C1">
        <w:t xml:space="preserve"> which presents systemic and practical initiatives </w:t>
      </w:r>
      <w:r w:rsidR="00AC2677">
        <w:t>for</w:t>
      </w:r>
      <w:r w:rsidRPr="00FA65C1">
        <w:t xml:space="preserve"> implement</w:t>
      </w:r>
      <w:r w:rsidR="00AC2677">
        <w:t>ation</w:t>
      </w:r>
      <w:r w:rsidRPr="00FA65C1">
        <w:t xml:space="preserve"> in the next four years to strengthen the evaluation function at UNFPA. </w:t>
      </w:r>
    </w:p>
    <w:p w14:paraId="25D19A01" w14:textId="77777777" w:rsidR="009E3F6C" w:rsidRPr="00FA65C1" w:rsidRDefault="009E3F6C" w:rsidP="00F93469">
      <w:pPr>
        <w:pStyle w:val="Heading21"/>
      </w:pPr>
      <w:bookmarkStart w:id="1" w:name="_Toc505873963"/>
      <w:r w:rsidRPr="00FA65C1">
        <w:t xml:space="preserve">Key highlights of the external independent strategic review of UNFPA evaluation function </w:t>
      </w:r>
    </w:p>
    <w:p w14:paraId="2EC49818" w14:textId="035DC9E8" w:rsidR="009E3F6C" w:rsidRPr="00FA65C1" w:rsidRDefault="009E3F6C" w:rsidP="009E3F6C">
      <w:pPr>
        <w:pStyle w:val="NUM1para"/>
      </w:pPr>
      <w:r w:rsidRPr="00FA65C1">
        <w:t xml:space="preserve">The purpose of the review of the evaluation function was to </w:t>
      </w:r>
      <w:r w:rsidR="007E6D05">
        <w:t>(</w:t>
      </w:r>
      <w:r w:rsidRPr="00FA65C1">
        <w:t xml:space="preserve">a) assess if the </w:t>
      </w:r>
      <w:r w:rsidR="007E6D05">
        <w:t>e</w:t>
      </w:r>
      <w:r w:rsidRPr="00FA65C1">
        <w:t xml:space="preserve">valuation </w:t>
      </w:r>
      <w:r w:rsidR="007E6D05">
        <w:t>p</w:t>
      </w:r>
      <w:r w:rsidRPr="00FA65C1">
        <w:t>olicy should be revised or not</w:t>
      </w:r>
      <w:r w:rsidR="007E6D05">
        <w:t xml:space="preserve"> –</w:t>
      </w:r>
      <w:r w:rsidRPr="00FA65C1">
        <w:t xml:space="preserve"> and, if so, identify areas of the policy that should be revised; and</w:t>
      </w:r>
      <w:r w:rsidR="007E6D05">
        <w:t xml:space="preserve"> (</w:t>
      </w:r>
      <w:r w:rsidRPr="00FA65C1">
        <w:t xml:space="preserve">b) provide an independent assessment of the evaluation function in UNFPA against the UNEG </w:t>
      </w:r>
      <w:r w:rsidR="007E6D05">
        <w:t>n</w:t>
      </w:r>
      <w:r w:rsidRPr="00FA65C1">
        <w:t xml:space="preserve">orms and </w:t>
      </w:r>
      <w:r w:rsidR="007E6D05">
        <w:t>s</w:t>
      </w:r>
      <w:r w:rsidRPr="00FA65C1">
        <w:t xml:space="preserve">tandards of independence, credibility and utility. </w:t>
      </w:r>
    </w:p>
    <w:p w14:paraId="470BAFA7" w14:textId="233C57FF" w:rsidR="009E3F6C" w:rsidRPr="00FA65C1" w:rsidRDefault="009E3F6C" w:rsidP="009E3F6C">
      <w:pPr>
        <w:pStyle w:val="NUM1para"/>
      </w:pPr>
      <w:r w:rsidRPr="00FA65C1">
        <w:t xml:space="preserve">To ensure independence of the review process and content, a </w:t>
      </w:r>
      <w:r w:rsidR="007E6D05">
        <w:t>s</w:t>
      </w:r>
      <w:r w:rsidRPr="00FA65C1">
        <w:t xml:space="preserve">teering </w:t>
      </w:r>
      <w:r w:rsidR="007E6D05">
        <w:t>c</w:t>
      </w:r>
      <w:r w:rsidRPr="00FA65C1">
        <w:t xml:space="preserve">ommittee to oversee the review </w:t>
      </w:r>
      <w:r w:rsidR="007E6D05">
        <w:t>–</w:t>
      </w:r>
      <w:r w:rsidRPr="00FA65C1">
        <w:t xml:space="preserve"> including selection of </w:t>
      </w:r>
      <w:r w:rsidR="007E6D05">
        <w:t>an</w:t>
      </w:r>
      <w:r w:rsidRPr="00FA65C1">
        <w:t xml:space="preserve"> independent external consultant </w:t>
      </w:r>
      <w:r w:rsidR="007E6D05">
        <w:t xml:space="preserve">to carry </w:t>
      </w:r>
      <w:r w:rsidRPr="00FA65C1">
        <w:t xml:space="preserve">out the review, as well as approval of the review report </w:t>
      </w:r>
      <w:r w:rsidR="007E6D05">
        <w:t>–</w:t>
      </w:r>
      <w:r w:rsidRPr="00FA65C1">
        <w:t xml:space="preserve"> was set up. The steering committee was chaired by the UNEG co-chair of the </w:t>
      </w:r>
      <w:r w:rsidR="007E6D05">
        <w:t>t</w:t>
      </w:r>
      <w:r w:rsidRPr="00FA65C1">
        <w:t xml:space="preserve">ask force on </w:t>
      </w:r>
      <w:r w:rsidR="007E6D05">
        <w:t>r</w:t>
      </w:r>
      <w:r w:rsidRPr="00FA65C1">
        <w:t xml:space="preserve">eview of evaluation functions, and composed of a representative from </w:t>
      </w:r>
      <w:r w:rsidR="00FA65C1">
        <w:t xml:space="preserve">the </w:t>
      </w:r>
      <w:r w:rsidR="007E6D05">
        <w:t>e</w:t>
      </w:r>
      <w:r w:rsidR="00FA65C1" w:rsidRPr="00FA65C1">
        <w:t xml:space="preserve">valuation </w:t>
      </w:r>
      <w:r w:rsidR="007E6D05">
        <w:t>o</w:t>
      </w:r>
      <w:r w:rsidR="00FA65C1" w:rsidRPr="00FA65C1">
        <w:t xml:space="preserve">ffice </w:t>
      </w:r>
      <w:r w:rsidRPr="00FA65C1">
        <w:t xml:space="preserve">of the Danish Ministry of Foreign Affairs and the UNFPA Office of the Executive Director. To ensure </w:t>
      </w:r>
      <w:r w:rsidR="00D57C9F">
        <w:t xml:space="preserve">a </w:t>
      </w:r>
      <w:r w:rsidRPr="00FA65C1">
        <w:t>geographical and institutional diversity of perspectives, an external technical advisory panel was also established</w:t>
      </w:r>
      <w:r w:rsidR="00D57C9F">
        <w:t>. C</w:t>
      </w:r>
      <w:r w:rsidRPr="00FA65C1">
        <w:t xml:space="preserve">haired by the former UNEG vice chair and </w:t>
      </w:r>
      <w:r w:rsidR="00D57C9F">
        <w:t>D</w:t>
      </w:r>
      <w:r w:rsidRPr="00FA65C1">
        <w:t xml:space="preserve">irector of </w:t>
      </w:r>
      <w:r w:rsidR="00D57C9F">
        <w:t xml:space="preserve">the </w:t>
      </w:r>
      <w:r w:rsidRPr="00FA65C1">
        <w:t xml:space="preserve">UNICEF Evaluation Office, </w:t>
      </w:r>
      <w:r w:rsidR="00D57C9F">
        <w:t xml:space="preserve">the advisory panel </w:t>
      </w:r>
      <w:r w:rsidR="00AC2677">
        <w:t>included</w:t>
      </w:r>
      <w:r w:rsidR="00D57C9F">
        <w:t xml:space="preserve"> </w:t>
      </w:r>
      <w:r w:rsidRPr="00FA65C1">
        <w:t xml:space="preserve">the Deputy Executive Director, National Council for </w:t>
      </w:r>
      <w:r w:rsidR="00D57C9F">
        <w:t>E</w:t>
      </w:r>
      <w:r w:rsidRPr="00FA65C1">
        <w:t xml:space="preserve">valuation of Public Policies, Coneval, Mexico; </w:t>
      </w:r>
      <w:r w:rsidR="00286025">
        <w:t xml:space="preserve">the </w:t>
      </w:r>
      <w:r w:rsidRPr="00FA65C1">
        <w:t>Director General, Independent Evaluation Group</w:t>
      </w:r>
      <w:r w:rsidR="00D57C9F">
        <w:t>;</w:t>
      </w:r>
      <w:r w:rsidRPr="00FA65C1">
        <w:t xml:space="preserve"> </w:t>
      </w:r>
      <w:r w:rsidR="00286025">
        <w:t xml:space="preserve">the </w:t>
      </w:r>
      <w:r w:rsidRPr="00FA65C1">
        <w:t xml:space="preserve">Vice-President, The World Bank; </w:t>
      </w:r>
      <w:r w:rsidR="00286025">
        <w:t xml:space="preserve">the </w:t>
      </w:r>
      <w:r w:rsidRPr="00FA65C1">
        <w:t>Governing Board Secretary, Asia Pacific Evaluation Association; and</w:t>
      </w:r>
      <w:r w:rsidR="00EB76BD">
        <w:t xml:space="preserve"> the</w:t>
      </w:r>
      <w:r w:rsidRPr="00FA65C1">
        <w:t xml:space="preserve"> President, African Evaluation Association.</w:t>
      </w:r>
    </w:p>
    <w:p w14:paraId="265E78D4" w14:textId="0B8BFF78" w:rsidR="009E3F6C" w:rsidRPr="00FA65C1" w:rsidRDefault="009E3F6C" w:rsidP="009E3F6C">
      <w:pPr>
        <w:pStyle w:val="NUM1para"/>
      </w:pPr>
      <w:r w:rsidRPr="00FA65C1">
        <w:t>The review</w:t>
      </w:r>
      <w:r w:rsidR="00286025">
        <w:t xml:space="preserve"> </w:t>
      </w:r>
      <w:r w:rsidR="00286025" w:rsidRPr="00286025">
        <w:t>found a consensus in UNFPA leadership at central and decentralized levels</w:t>
      </w:r>
      <w:r w:rsidR="00286025">
        <w:t>:</w:t>
      </w:r>
      <w:r w:rsidR="00CF5322" w:rsidRPr="00CB4B45">
        <w:rPr>
          <w:rStyle w:val="FootnoteReference"/>
          <w:vertAlign w:val="superscript"/>
        </w:rPr>
        <w:footnoteReference w:id="3"/>
      </w:r>
      <w:r w:rsidRPr="00FA65C1">
        <w:t xml:space="preserve"> </w:t>
      </w:r>
      <w:r w:rsidR="00EB76BD">
        <w:t>(a</w:t>
      </w:r>
      <w:r w:rsidRPr="00FA65C1">
        <w:t>)</w:t>
      </w:r>
      <w:r w:rsidR="00286025">
        <w:t> an</w:t>
      </w:r>
      <w:r w:rsidRPr="00FA65C1">
        <w:t xml:space="preserve"> independent evaluation function is critical to the sound functioning of the organi</w:t>
      </w:r>
      <w:r w:rsidR="00EB76BD">
        <w:t>z</w:t>
      </w:r>
      <w:r w:rsidRPr="00FA65C1">
        <w:t>ation and key to the successful reali</w:t>
      </w:r>
      <w:r w:rsidR="005804B9">
        <w:t>z</w:t>
      </w:r>
      <w:r w:rsidRPr="00FA65C1">
        <w:t xml:space="preserve">ation of </w:t>
      </w:r>
      <w:r w:rsidR="005804B9">
        <w:t>the UNFPA</w:t>
      </w:r>
      <w:r w:rsidRPr="00FA65C1">
        <w:t xml:space="preserve"> mission; and</w:t>
      </w:r>
      <w:r w:rsidR="00EB76BD">
        <w:t xml:space="preserve"> (b</w:t>
      </w:r>
      <w:r w:rsidRPr="00FA65C1">
        <w:t xml:space="preserve">) evaluation is indispensable for sound management and policy decision-making, for independent accountability reporting and </w:t>
      </w:r>
      <w:r w:rsidR="00EB76BD">
        <w:t xml:space="preserve">for </w:t>
      </w:r>
      <w:r w:rsidRPr="00FA65C1">
        <w:t>generat</w:t>
      </w:r>
      <w:r w:rsidR="00EB76BD">
        <w:t xml:space="preserve">ion of </w:t>
      </w:r>
      <w:r w:rsidRPr="00FA65C1">
        <w:t xml:space="preserve">evidence-informed knowledge. These findings reflect, </w:t>
      </w:r>
      <w:r w:rsidR="005141F4">
        <w:t>with</w:t>
      </w:r>
      <w:r w:rsidRPr="00FA65C1">
        <w:t xml:space="preserve">in UNFPA, a broad-based understanding of, and agreement on, the role and value not only of evaluation, but </w:t>
      </w:r>
      <w:r w:rsidRPr="00FA65C1">
        <w:lastRenderedPageBreak/>
        <w:t>as well of the necessary independence of the evaluation function.</w:t>
      </w:r>
      <w:r w:rsidR="00EB76BD">
        <w:t xml:space="preserve"> </w:t>
      </w:r>
      <w:r w:rsidRPr="00FA65C1">
        <w:t>This consensus constitutes a strong foundation for evaluation in UNFPA</w:t>
      </w:r>
      <w:r w:rsidR="005141F4">
        <w:t xml:space="preserve"> –</w:t>
      </w:r>
      <w:r w:rsidRPr="00FA65C1">
        <w:t xml:space="preserve"> and, as such, should be consolidated, cared for and built on. This is a shared responsibility across the organ</w:t>
      </w:r>
      <w:r w:rsidR="005141F4">
        <w:t>ization</w:t>
      </w:r>
      <w:r w:rsidRPr="00FA65C1">
        <w:t xml:space="preserve">, at governance and management levels, and in countries, regions and </w:t>
      </w:r>
      <w:r w:rsidR="005141F4">
        <w:t>headquarters</w:t>
      </w:r>
      <w:r w:rsidRPr="00FA65C1">
        <w:t xml:space="preserve">. </w:t>
      </w:r>
    </w:p>
    <w:p w14:paraId="114E2AB8" w14:textId="14D44B2E" w:rsidR="009E3F6C" w:rsidRPr="00FA65C1" w:rsidRDefault="009E3F6C" w:rsidP="009E3F6C">
      <w:pPr>
        <w:pStyle w:val="NUM1para"/>
      </w:pPr>
      <w:r w:rsidRPr="00FA65C1">
        <w:t xml:space="preserve">The review </w:t>
      </w:r>
      <w:r w:rsidR="005D3397">
        <w:t>found</w:t>
      </w:r>
      <w:r w:rsidRPr="00FA65C1">
        <w:t xml:space="preserve"> that </w:t>
      </w:r>
      <w:r w:rsidR="005141F4">
        <w:t>t</w:t>
      </w:r>
      <w:r w:rsidR="005804B9">
        <w:t>he UNFPA</w:t>
      </w:r>
      <w:r w:rsidRPr="00FA65C1">
        <w:t xml:space="preserve"> evaluation policy is fundamentally sound. </w:t>
      </w:r>
      <w:bookmarkStart w:id="2" w:name="_Toc508302924"/>
      <w:r w:rsidRPr="00FA65C1">
        <w:t xml:space="preserve">However, </w:t>
      </w:r>
      <w:r w:rsidR="00182F28">
        <w:t>it</w:t>
      </w:r>
      <w:r w:rsidRPr="00FA65C1">
        <w:t xml:space="preserve"> considers the current UNFPA evaluation policy requires updating for it to be consistent with </w:t>
      </w:r>
      <w:r w:rsidR="00182F28">
        <w:t>developments</w:t>
      </w:r>
      <w:r w:rsidRPr="00FA65C1">
        <w:t xml:space="preserve"> and changes both within UNFPA and in the broader </w:t>
      </w:r>
      <w:r w:rsidR="005804B9">
        <w:t xml:space="preserve">United Nations </w:t>
      </w:r>
      <w:r w:rsidRPr="00FA65C1">
        <w:t>and global contexts</w:t>
      </w:r>
      <w:r w:rsidR="00182F28">
        <w:t>; t</w:t>
      </w:r>
      <w:r w:rsidRPr="00FA65C1">
        <w:t xml:space="preserve">he evaluation policy </w:t>
      </w:r>
      <w:r w:rsidR="00182F28">
        <w:t>is</w:t>
      </w:r>
      <w:r w:rsidRPr="00FA65C1">
        <w:t xml:space="preserve"> amenable to adjustments that would better reflect the priorities of UNFPA </w:t>
      </w:r>
      <w:r w:rsidR="00182F28">
        <w:t>s</w:t>
      </w:r>
      <w:r w:rsidRPr="00FA65C1">
        <w:t xml:space="preserve">trategic </w:t>
      </w:r>
      <w:r w:rsidR="00182F28">
        <w:t>p</w:t>
      </w:r>
      <w:r w:rsidRPr="00FA65C1">
        <w:t>lan</w:t>
      </w:r>
      <w:r w:rsidR="00182F28">
        <w:t xml:space="preserve">, </w:t>
      </w:r>
      <w:r w:rsidR="00182F28" w:rsidRPr="00182F28">
        <w:t>2018-2021</w:t>
      </w:r>
      <w:r w:rsidRPr="00182F28">
        <w:t>.</w:t>
      </w:r>
      <w:r w:rsidRPr="00FA65C1">
        <w:t xml:space="preserve"> Finally, a revised evaluation policy should allow for, and support, change and innovation in UNFPA evaluation practices.</w:t>
      </w:r>
      <w:bookmarkEnd w:id="2"/>
    </w:p>
    <w:p w14:paraId="7EC9962D" w14:textId="71670352" w:rsidR="009E3F6C" w:rsidRPr="00FA65C1" w:rsidRDefault="009E3F6C" w:rsidP="009E3F6C">
      <w:pPr>
        <w:pStyle w:val="NUM1para"/>
      </w:pPr>
      <w:r w:rsidRPr="00FA65C1">
        <w:t>The review did not find evidence of or suggestions to the effect that there are threats to organ</w:t>
      </w:r>
      <w:r w:rsidR="005141F4">
        <w:t>ization</w:t>
      </w:r>
      <w:r w:rsidRPr="00FA65C1">
        <w:t xml:space="preserve">al independence. In terms of behavioural independence, the review considers the independence of external evaluators </w:t>
      </w:r>
      <w:r w:rsidR="004F69B2">
        <w:t>to be</w:t>
      </w:r>
      <w:r w:rsidRPr="00FA65C1">
        <w:t xml:space="preserve"> appropriately safeguarded. </w:t>
      </w:r>
      <w:r w:rsidR="004F69B2">
        <w:t>Q</w:t>
      </w:r>
      <w:r w:rsidRPr="00FA65C1">
        <w:t>uality assurance mechanisms for the decentralized evaluation function contribute to safeguarding independence for regional and country programme evaluations managed by decentralized business units. With respect to the governance and organ</w:t>
      </w:r>
      <w:r w:rsidR="005141F4">
        <w:t>ization</w:t>
      </w:r>
      <w:r w:rsidRPr="00FA65C1">
        <w:t xml:space="preserve"> of </w:t>
      </w:r>
      <w:r w:rsidR="004F69B2">
        <w:t>t</w:t>
      </w:r>
      <w:r w:rsidR="005804B9">
        <w:t>he UNFPA</w:t>
      </w:r>
      <w:r w:rsidRPr="00FA65C1">
        <w:t xml:space="preserve"> evaluation function, the review is of the opinion that the structure and processes in place for accountability to the Executive Board </w:t>
      </w:r>
      <w:r w:rsidR="004F69B2">
        <w:t>as well as</w:t>
      </w:r>
      <w:r w:rsidRPr="00FA65C1">
        <w:t xml:space="preserve"> </w:t>
      </w:r>
      <w:r w:rsidR="004F69B2">
        <w:t xml:space="preserve">for the </w:t>
      </w:r>
      <w:r w:rsidRPr="00FA65C1">
        <w:t xml:space="preserve">relationships between </w:t>
      </w:r>
      <w:r w:rsidR="00EA38F6">
        <w:t xml:space="preserve">the </w:t>
      </w:r>
      <w:r w:rsidR="00EA38F6" w:rsidRPr="00EA38F6">
        <w:t>Evaluation Office</w:t>
      </w:r>
      <w:r w:rsidRPr="00EA38F6">
        <w:t xml:space="preserve"> </w:t>
      </w:r>
      <w:r w:rsidRPr="00FA65C1">
        <w:t>and UNFPA management are function</w:t>
      </w:r>
      <w:r w:rsidR="004F69B2">
        <w:t>ing well</w:t>
      </w:r>
      <w:r w:rsidRPr="00FA65C1">
        <w:t>. However, the review considers that improvements could be made</w:t>
      </w:r>
      <w:r w:rsidR="009D6763">
        <w:t>:</w:t>
      </w:r>
      <w:r w:rsidRPr="00FA65C1">
        <w:t xml:space="preserve"> to the quality of </w:t>
      </w:r>
      <w:r w:rsidR="00EA38F6" w:rsidRPr="00EA38F6">
        <w:t xml:space="preserve">Evaluation Office </w:t>
      </w:r>
      <w:r w:rsidRPr="00FA65C1">
        <w:t xml:space="preserve">reporting to the Board as well as its relationships with UNFPA management and </w:t>
      </w:r>
      <w:r w:rsidR="00AC2677">
        <w:t xml:space="preserve">with </w:t>
      </w:r>
      <w:r w:rsidRPr="00FA65C1">
        <w:t xml:space="preserve">regional and country </w:t>
      </w:r>
      <w:r w:rsidR="004F69B2">
        <w:t>monitoring and evaluation</w:t>
      </w:r>
      <w:r w:rsidRPr="00FA65C1">
        <w:t xml:space="preserve"> staff.</w:t>
      </w:r>
    </w:p>
    <w:p w14:paraId="16934B8A" w14:textId="2F54DA1C" w:rsidR="009E3F6C" w:rsidRPr="00FA65C1" w:rsidRDefault="009E3F6C" w:rsidP="009E3F6C">
      <w:pPr>
        <w:pStyle w:val="NUM1para"/>
      </w:pPr>
      <w:bookmarkStart w:id="3" w:name="_Toc508302797"/>
      <w:r w:rsidRPr="00FA65C1">
        <w:t xml:space="preserve">The review considers that, </w:t>
      </w:r>
      <w:r w:rsidR="009D6763" w:rsidRPr="00FA65C1">
        <w:t>largely</w:t>
      </w:r>
      <w:r w:rsidRPr="00FA65C1">
        <w:t>, corporate and decentra</w:t>
      </w:r>
      <w:r w:rsidR="00A5683E">
        <w:t>lized</w:t>
      </w:r>
      <w:r w:rsidRPr="00FA65C1">
        <w:t xml:space="preserve"> evaluation processes</w:t>
      </w:r>
      <w:r w:rsidR="00A5683E">
        <w:t xml:space="preserve"> are transparent and inclusive – the </w:t>
      </w:r>
      <w:r w:rsidRPr="00FA65C1">
        <w:t>two dimensions highlighted in UNEG norms and standards as being key to the credibility of evaluation.</w:t>
      </w:r>
      <w:bookmarkEnd w:id="3"/>
      <w:r w:rsidRPr="00FA65C1">
        <w:t xml:space="preserve"> </w:t>
      </w:r>
      <w:bookmarkStart w:id="4" w:name="_Toc508302798"/>
      <w:r w:rsidR="00A5683E">
        <w:t>T</w:t>
      </w:r>
      <w:r w:rsidRPr="00FA65C1">
        <w:t xml:space="preserve">he review </w:t>
      </w:r>
      <w:r w:rsidR="00A5683E">
        <w:t xml:space="preserve">also </w:t>
      </w:r>
      <w:r w:rsidR="005D3397">
        <w:t>found</w:t>
      </w:r>
      <w:r w:rsidRPr="00FA65C1">
        <w:t xml:space="preserve"> that UNFPA guidance recognizes that other important norms contribute to the credibility of evaluation</w:t>
      </w:r>
      <w:r w:rsidR="00A5683E">
        <w:t>s</w:t>
      </w:r>
      <w:r w:rsidRPr="00FA65C1">
        <w:t xml:space="preserve">, such as the ethical conduct </w:t>
      </w:r>
      <w:r w:rsidR="00A5683E">
        <w:t>of</w:t>
      </w:r>
      <w:r w:rsidRPr="00FA65C1">
        <w:t xml:space="preserve"> evaluation teams</w:t>
      </w:r>
      <w:r w:rsidR="00A5683E">
        <w:t xml:space="preserve">, which </w:t>
      </w:r>
      <w:r w:rsidRPr="00FA65C1">
        <w:t xml:space="preserve">are impartial and demonstrate appropriate professional and cultural competencies. While the review did not seek to assess </w:t>
      </w:r>
      <w:r w:rsidR="00A5683E">
        <w:t xml:space="preserve">the </w:t>
      </w:r>
      <w:r w:rsidRPr="00FA65C1">
        <w:t xml:space="preserve">consistency of evaluation practice in UNFPA with these norms, in its extensive round of interviews and meetings, </w:t>
      </w:r>
      <w:r w:rsidR="00A5683E" w:rsidRPr="00A5683E">
        <w:t xml:space="preserve">it did not come across </w:t>
      </w:r>
      <w:r w:rsidRPr="00FA65C1">
        <w:t xml:space="preserve">indications to the contrary. Finally, the review found that </w:t>
      </w:r>
      <w:r w:rsidR="005804B9">
        <w:t>the UNFPA</w:t>
      </w:r>
      <w:r w:rsidRPr="00FA65C1">
        <w:t xml:space="preserve"> quality assurance system for evaluation</w:t>
      </w:r>
      <w:r w:rsidR="00A5683E">
        <w:t>s</w:t>
      </w:r>
      <w:r w:rsidRPr="00FA65C1">
        <w:t xml:space="preserve"> contributes to the credibility of both corporate and decentralized evaluations.</w:t>
      </w:r>
      <w:bookmarkEnd w:id="4"/>
    </w:p>
    <w:p w14:paraId="2BC5A51B" w14:textId="6BDA134B" w:rsidR="009E3F6C" w:rsidRPr="00FA65C1" w:rsidRDefault="009E3F6C" w:rsidP="009E3F6C">
      <w:pPr>
        <w:pStyle w:val="NUM1para"/>
      </w:pPr>
      <w:bookmarkStart w:id="5" w:name="_Toc508302799"/>
      <w:r w:rsidRPr="00FA65C1">
        <w:t>In terms of performance, the review found tha</w:t>
      </w:r>
      <w:r w:rsidR="00F14EFC">
        <w:t>t –</w:t>
      </w:r>
      <w:r w:rsidRPr="00FA65C1">
        <w:t xml:space="preserve"> within the parameters set by the evaluation policy and </w:t>
      </w:r>
      <w:r w:rsidR="00F14EFC">
        <w:t>t</w:t>
      </w:r>
      <w:r w:rsidR="005804B9">
        <w:t>he UNFPA</w:t>
      </w:r>
      <w:r w:rsidRPr="00FA65C1">
        <w:t xml:space="preserve"> financial and administrative framework</w:t>
      </w:r>
      <w:r w:rsidR="00F14EFC">
        <w:t xml:space="preserve"> –</w:t>
      </w:r>
      <w:r w:rsidRPr="00FA65C1">
        <w:t xml:space="preserve"> the evaluation function has progressed relative to the objectives it has set for itself</w:t>
      </w:r>
      <w:r w:rsidR="00F14EFC">
        <w:t>,</w:t>
      </w:r>
      <w:r w:rsidRPr="00FA65C1">
        <w:t xml:space="preserve"> and done so with reasonable regard to economy, efficiency and effectiveness. </w:t>
      </w:r>
      <w:r w:rsidR="00F14EFC">
        <w:t>T</w:t>
      </w:r>
      <w:r w:rsidRPr="00FA65C1">
        <w:t xml:space="preserve">he review </w:t>
      </w:r>
      <w:r w:rsidR="00F14EFC">
        <w:t>also found</w:t>
      </w:r>
      <w:r w:rsidRPr="00FA65C1">
        <w:t xml:space="preserve"> that the evaluation function generally reports on its work in a manner consistent with UNEG norms and standards.</w:t>
      </w:r>
      <w:bookmarkEnd w:id="5"/>
      <w:r w:rsidRPr="00FA65C1">
        <w:t xml:space="preserve"> </w:t>
      </w:r>
      <w:bookmarkStart w:id="6" w:name="_Toc508302800"/>
      <w:r w:rsidRPr="00FA65C1">
        <w:t>In the context of an independent and distinct evaluation function</w:t>
      </w:r>
      <w:r w:rsidR="00F14EFC">
        <w:t>,</w:t>
      </w:r>
      <w:r w:rsidRPr="00FA65C1">
        <w:t xml:space="preserve"> developed from </w:t>
      </w:r>
      <w:r w:rsidR="009416D8">
        <w:t>the ground up</w:t>
      </w:r>
      <w:r w:rsidRPr="00FA65C1">
        <w:t xml:space="preserve"> </w:t>
      </w:r>
      <w:r w:rsidR="00F14EFC">
        <w:t>some five y</w:t>
      </w:r>
      <w:r w:rsidRPr="00FA65C1">
        <w:t xml:space="preserve">ears ago, the performance of </w:t>
      </w:r>
      <w:r w:rsidR="00F14EFC">
        <w:t>the current</w:t>
      </w:r>
      <w:r w:rsidRPr="00FA65C1">
        <w:t xml:space="preserve"> systems can be </w:t>
      </w:r>
      <w:r w:rsidR="009D6763">
        <w:t>considered</w:t>
      </w:r>
      <w:r w:rsidRPr="00FA65C1">
        <w:t xml:space="preserve"> a reasonable and commendable achievement.</w:t>
      </w:r>
      <w:bookmarkEnd w:id="6"/>
    </w:p>
    <w:p w14:paraId="585BCA95" w14:textId="67AD1C59" w:rsidR="009E3F6C" w:rsidRPr="00FA65C1" w:rsidRDefault="009E3F6C" w:rsidP="009E3F6C">
      <w:pPr>
        <w:pStyle w:val="NUM1para"/>
      </w:pPr>
      <w:r w:rsidRPr="00FA65C1">
        <w:t>The review consider</w:t>
      </w:r>
      <w:r w:rsidR="005D3397">
        <w:t>ed</w:t>
      </w:r>
      <w:r w:rsidRPr="00FA65C1">
        <w:t xml:space="preserve"> the UNFPA evaluation function </w:t>
      </w:r>
      <w:r w:rsidR="00B945B2">
        <w:t>to be</w:t>
      </w:r>
      <w:r w:rsidRPr="00FA65C1">
        <w:t xml:space="preserve"> managed with due regard for utility. </w:t>
      </w:r>
      <w:r w:rsidR="009D6763">
        <w:t>However</w:t>
      </w:r>
      <w:r w:rsidRPr="00FA65C1">
        <w:t>, the review highlight</w:t>
      </w:r>
      <w:r w:rsidR="009416D8">
        <w:t>ed</w:t>
      </w:r>
      <w:r w:rsidRPr="00FA65C1">
        <w:t xml:space="preserve"> the importance for UNFPA of adapting continuously its evaluation processes to best support the attainment of </w:t>
      </w:r>
      <w:r w:rsidR="00B945B2">
        <w:t>t</w:t>
      </w:r>
      <w:r w:rsidR="005804B9">
        <w:t>he UNFPA</w:t>
      </w:r>
      <w:r w:rsidRPr="00FA65C1">
        <w:t xml:space="preserve"> mission in rapidly changing and challenging contexts. In particular</w:t>
      </w:r>
      <w:r w:rsidR="00B945B2">
        <w:t>,</w:t>
      </w:r>
      <w:r w:rsidRPr="00FA65C1">
        <w:t xml:space="preserve"> there should be a focus on strengthening communication effectiveness, including the effectiveness of written reports relative to their intended readerships. </w:t>
      </w:r>
    </w:p>
    <w:p w14:paraId="5477A4CC" w14:textId="24FD4CA0" w:rsidR="009E3F6C" w:rsidRPr="00FA65C1" w:rsidRDefault="009E3F6C" w:rsidP="009E3F6C">
      <w:pPr>
        <w:pStyle w:val="NUM1para"/>
      </w:pPr>
      <w:r w:rsidRPr="00FA65C1">
        <w:t xml:space="preserve">Based on the </w:t>
      </w:r>
      <w:r w:rsidR="00B945B2" w:rsidRPr="00B945B2">
        <w:t>above</w:t>
      </w:r>
      <w:r w:rsidR="00B945B2">
        <w:t>-</w:t>
      </w:r>
      <w:r w:rsidR="00B945B2" w:rsidRPr="00B945B2">
        <w:t xml:space="preserve">mentioned </w:t>
      </w:r>
      <w:r w:rsidRPr="00FA65C1">
        <w:t xml:space="preserve">conclusions, </w:t>
      </w:r>
      <w:r w:rsidR="005D3397">
        <w:t>the review recommended the following</w:t>
      </w:r>
      <w:r w:rsidRPr="00FA65C1">
        <w:t xml:space="preserve">: </w:t>
      </w:r>
    </w:p>
    <w:p w14:paraId="0CFA0AD1" w14:textId="483355FB" w:rsidR="009E3F6C" w:rsidRPr="00FA65C1" w:rsidRDefault="009E3F6C" w:rsidP="00B945B2">
      <w:pPr>
        <w:pStyle w:val="NUMapara"/>
      </w:pPr>
      <w:r w:rsidRPr="00FA65C1">
        <w:t xml:space="preserve">The evaluation policy </w:t>
      </w:r>
      <w:r w:rsidR="00B945B2">
        <w:t xml:space="preserve">should </w:t>
      </w:r>
      <w:r w:rsidRPr="00FA65C1">
        <w:t xml:space="preserve">be updated for consistency with </w:t>
      </w:r>
      <w:r w:rsidR="00B945B2">
        <w:t>developments</w:t>
      </w:r>
      <w:r w:rsidRPr="00FA65C1">
        <w:t xml:space="preserve"> and changes both within UNFPA and in the broader </w:t>
      </w:r>
      <w:r w:rsidR="005804B9">
        <w:t xml:space="preserve">United Nations </w:t>
      </w:r>
      <w:r w:rsidRPr="00FA65C1">
        <w:t>and global contexts;</w:t>
      </w:r>
    </w:p>
    <w:p w14:paraId="6F7DAC32" w14:textId="0F822B2D" w:rsidR="009E3F6C" w:rsidRPr="00FA65C1" w:rsidRDefault="009E3F6C" w:rsidP="00B945B2">
      <w:pPr>
        <w:pStyle w:val="NUMapara"/>
      </w:pPr>
      <w:r w:rsidRPr="00FA65C1">
        <w:lastRenderedPageBreak/>
        <w:t xml:space="preserve">Presentations of results and recommendations from evaluations to the Executive Board </w:t>
      </w:r>
      <w:r w:rsidR="00B945B2">
        <w:t xml:space="preserve">should </w:t>
      </w:r>
      <w:r w:rsidRPr="00FA65C1">
        <w:t>be mindful of its governance function and its requirements. This means, among other considerations, not delving into technical and methodological information beyond what is necessary to provide the Board with information relevant to its strategic, policy and programming interests;</w:t>
      </w:r>
    </w:p>
    <w:p w14:paraId="4343E3D0" w14:textId="05746B17" w:rsidR="009E3F6C" w:rsidRPr="00FA65C1" w:rsidRDefault="00EA38F6" w:rsidP="00B945B2">
      <w:pPr>
        <w:pStyle w:val="NUMapara"/>
      </w:pPr>
      <w:r>
        <w:t xml:space="preserve">The </w:t>
      </w:r>
      <w:r w:rsidRPr="00EA38F6">
        <w:t xml:space="preserve">Evaluation Office </w:t>
      </w:r>
      <w:r w:rsidR="00B945B2">
        <w:t xml:space="preserve">should </w:t>
      </w:r>
      <w:r w:rsidR="009E3F6C" w:rsidRPr="00FA65C1">
        <w:t>guide the evaluation function in UNFPA towards a better balance between accountability, decision support and learning purposes.</w:t>
      </w:r>
      <w:r w:rsidR="00EB76BD">
        <w:t xml:space="preserve"> </w:t>
      </w:r>
      <w:r w:rsidR="009E3F6C" w:rsidRPr="00FA65C1">
        <w:t>UNFPA adapts continuously its evaluation approaches and process</w:t>
      </w:r>
      <w:r w:rsidR="00B945B2">
        <w:t>es</w:t>
      </w:r>
      <w:r w:rsidR="009E3F6C" w:rsidRPr="00FA65C1">
        <w:t xml:space="preserve"> to best inform and support the attainment of </w:t>
      </w:r>
      <w:r>
        <w:t xml:space="preserve">the </w:t>
      </w:r>
      <w:r w:rsidR="009E3F6C" w:rsidRPr="00FA65C1">
        <w:t>UNFPA mission in rapidly changing and challenging contexts</w:t>
      </w:r>
    </w:p>
    <w:p w14:paraId="1E8780E6" w14:textId="35A8D95A" w:rsidR="009E3F6C" w:rsidRPr="00FA65C1" w:rsidRDefault="00EA38F6" w:rsidP="00B945B2">
      <w:pPr>
        <w:pStyle w:val="NUMapara"/>
      </w:pPr>
      <w:r>
        <w:t xml:space="preserve">The </w:t>
      </w:r>
      <w:r w:rsidRPr="00EA38F6">
        <w:t xml:space="preserve">Evaluation Office </w:t>
      </w:r>
      <w:r w:rsidR="00B945B2">
        <w:t xml:space="preserve">should </w:t>
      </w:r>
      <w:r w:rsidR="009E3F6C" w:rsidRPr="00FA65C1">
        <w:t>better integrate relevant developments in the theory and practice</w:t>
      </w:r>
      <w:r w:rsidR="00EB76BD">
        <w:t xml:space="preserve"> </w:t>
      </w:r>
      <w:r w:rsidR="009E3F6C" w:rsidRPr="00FA65C1">
        <w:t>of evaluation</w:t>
      </w:r>
      <w:r w:rsidR="005D3397">
        <w:t>.</w:t>
      </w:r>
      <w:r w:rsidR="009E3F6C" w:rsidRPr="00FA65C1">
        <w:t xml:space="preserve"> </w:t>
      </w:r>
      <w:r w:rsidR="005D3397">
        <w:t>T</w:t>
      </w:r>
      <w:r w:rsidR="009E3F6C" w:rsidRPr="00FA65C1">
        <w:t xml:space="preserve">he conception of evaluation quality </w:t>
      </w:r>
      <w:r w:rsidR="003D38AA">
        <w:t xml:space="preserve">should </w:t>
      </w:r>
      <w:r w:rsidR="009E3F6C" w:rsidRPr="00FA65C1">
        <w:t>be based on a more comprehensive and value-based understanding of quality;</w:t>
      </w:r>
    </w:p>
    <w:p w14:paraId="4A5872B4" w14:textId="77777777" w:rsidR="005D3397" w:rsidRDefault="009E3F6C" w:rsidP="003D38AA">
      <w:pPr>
        <w:pStyle w:val="NUMapara"/>
      </w:pPr>
      <w:r w:rsidRPr="00FA65C1">
        <w:tab/>
      </w:r>
      <w:bookmarkStart w:id="7" w:name="_Toc508302817"/>
      <w:r w:rsidR="00EA38F6">
        <w:t xml:space="preserve">The </w:t>
      </w:r>
      <w:r w:rsidR="00EA38F6" w:rsidRPr="00EA38F6">
        <w:t>Evaluation Office</w:t>
      </w:r>
      <w:r w:rsidRPr="00EA38F6">
        <w:t>,</w:t>
      </w:r>
      <w:r w:rsidRPr="00FA65C1">
        <w:t xml:space="preserve"> in its role as custodian of the evaluation function in UNFPA, together with relevant stakeholders, </w:t>
      </w:r>
      <w:r w:rsidR="003D38AA">
        <w:t xml:space="preserve">should </w:t>
      </w:r>
      <w:r w:rsidRPr="00FA65C1">
        <w:t xml:space="preserve">progressively </w:t>
      </w:r>
      <w:r w:rsidRPr="003D38AA">
        <w:t xml:space="preserve">address </w:t>
      </w:r>
      <w:r w:rsidRPr="00FA65C1">
        <w:t>the nature and organ</w:t>
      </w:r>
      <w:r w:rsidR="005141F4">
        <w:t>ization</w:t>
      </w:r>
      <w:r w:rsidRPr="00FA65C1">
        <w:t xml:space="preserve"> of the decentralized evaluation function</w:t>
      </w:r>
      <w:r w:rsidR="005D3397">
        <w:t>;</w:t>
      </w:r>
    </w:p>
    <w:p w14:paraId="01AAFDF2" w14:textId="29A718CE" w:rsidR="005D3397" w:rsidRDefault="005D3397" w:rsidP="003D38AA">
      <w:pPr>
        <w:pStyle w:val="NUMapara"/>
      </w:pPr>
      <w:r>
        <w:t xml:space="preserve">The Evaluation Office should </w:t>
      </w:r>
      <w:r w:rsidR="009416D8" w:rsidRPr="009416D8">
        <w:t xml:space="preserve">systematically </w:t>
      </w:r>
      <w:r w:rsidRPr="005D3397">
        <w:t xml:space="preserve">address </w:t>
      </w:r>
      <w:r>
        <w:t xml:space="preserve">the review’s </w:t>
      </w:r>
      <w:r w:rsidRPr="005D3397">
        <w:t>observations to further improve the methodology, findings and analysis, conclusions and the communication of evaluation reports;</w:t>
      </w:r>
    </w:p>
    <w:p w14:paraId="4F68C554" w14:textId="49E58804" w:rsidR="009E3F6C" w:rsidRDefault="005D3397" w:rsidP="003D38AA">
      <w:pPr>
        <w:pStyle w:val="NUMapara"/>
      </w:pPr>
      <w:r>
        <w:t>The Evaluation Office should</w:t>
      </w:r>
      <w:r w:rsidRPr="005D3397">
        <w:t xml:space="preserve"> </w:t>
      </w:r>
      <w:r>
        <w:t xml:space="preserve">progressively </w:t>
      </w:r>
      <w:r w:rsidR="00BA78F7" w:rsidRPr="00BA78F7">
        <w:t xml:space="preserve">update </w:t>
      </w:r>
      <w:r>
        <w:t xml:space="preserve">its </w:t>
      </w:r>
      <w:r w:rsidR="00BA78F7">
        <w:t>e</w:t>
      </w:r>
      <w:r>
        <w:t xml:space="preserve">valuation </w:t>
      </w:r>
      <w:r w:rsidR="00BA78F7">
        <w:t>q</w:t>
      </w:r>
      <w:r>
        <w:t xml:space="preserve">uality </w:t>
      </w:r>
      <w:r w:rsidR="00BA78F7">
        <w:t>a</w:t>
      </w:r>
      <w:r>
        <w:t xml:space="preserve">ssurance and </w:t>
      </w:r>
      <w:r w:rsidR="00BA78F7">
        <w:t>a</w:t>
      </w:r>
      <w:r>
        <w:t>ssessment</w:t>
      </w:r>
      <w:r w:rsidRPr="005D3397">
        <w:t xml:space="preserve"> system</w:t>
      </w:r>
      <w:bookmarkEnd w:id="7"/>
    </w:p>
    <w:p w14:paraId="6D713C60" w14:textId="4BF4AF7E" w:rsidR="00D73B5E" w:rsidRPr="00D73B5E" w:rsidRDefault="00D73B5E" w:rsidP="00D73B5E">
      <w:pPr>
        <w:pStyle w:val="ListNumber"/>
        <w:tabs>
          <w:tab w:val="clear" w:pos="360"/>
          <w:tab w:val="num" w:pos="1890"/>
        </w:tabs>
        <w:ind w:left="1260" w:firstLine="0"/>
      </w:pPr>
      <w:r>
        <w:t>In the management response</w:t>
      </w:r>
      <w:r w:rsidR="00BA78F7">
        <w:t>,</w:t>
      </w:r>
      <w:r w:rsidRPr="00CB4B45">
        <w:rPr>
          <w:rStyle w:val="FootnoteReference"/>
          <w:vertAlign w:val="superscript"/>
        </w:rPr>
        <w:footnoteReference w:id="4"/>
      </w:r>
      <w:r w:rsidRPr="00CB4B45">
        <w:rPr>
          <w:vertAlign w:val="superscript"/>
        </w:rPr>
        <w:t xml:space="preserve"> </w:t>
      </w:r>
      <w:r w:rsidR="003105CE">
        <w:t>UNFPA welcomed</w:t>
      </w:r>
      <w:r w:rsidRPr="00D73B5E">
        <w:t xml:space="preserve"> the external independent strategic review of </w:t>
      </w:r>
      <w:r w:rsidR="00BA78F7">
        <w:t xml:space="preserve">the </w:t>
      </w:r>
      <w:r w:rsidRPr="00D73B5E">
        <w:t xml:space="preserve">UNFPA evaluation function. </w:t>
      </w:r>
      <w:r w:rsidR="00BA78F7">
        <w:t>Management</w:t>
      </w:r>
      <w:r w:rsidR="003105CE">
        <w:t xml:space="preserve"> acknowledged that t</w:t>
      </w:r>
      <w:r w:rsidRPr="00D73B5E">
        <w:t xml:space="preserve">his review </w:t>
      </w:r>
      <w:r w:rsidR="00BA78F7">
        <w:t>wa</w:t>
      </w:r>
      <w:r w:rsidRPr="00D73B5E">
        <w:t xml:space="preserve">s a key learning exercise, </w:t>
      </w:r>
      <w:r w:rsidR="003105CE">
        <w:t xml:space="preserve">and </w:t>
      </w:r>
      <w:r w:rsidR="00BA78F7">
        <w:t>would</w:t>
      </w:r>
      <w:r w:rsidRPr="00D73B5E">
        <w:t xml:space="preserve"> contribute to ensuring that UNFPA is able to effectively demonstrate its contribution to development results within its mandate. The consultative process of the review made it a valuable learning opportunity in itself, which led to the real-time assimilation of its findings and conclusions, including allowing real-time implementa</w:t>
      </w:r>
      <w:r w:rsidR="003105CE">
        <w:t xml:space="preserve">tion of some recommendations. </w:t>
      </w:r>
      <w:r w:rsidRPr="00D73B5E">
        <w:t>UNFPA accept</w:t>
      </w:r>
      <w:r w:rsidR="003105CE">
        <w:t>ed</w:t>
      </w:r>
      <w:r w:rsidRPr="00D73B5E">
        <w:t xml:space="preserve"> all recommendations and </w:t>
      </w:r>
      <w:r w:rsidR="003105CE">
        <w:t>is committed</w:t>
      </w:r>
      <w:r w:rsidRPr="00D73B5E">
        <w:t xml:space="preserve"> to their timely implementation.</w:t>
      </w:r>
    </w:p>
    <w:p w14:paraId="6ACAEDC7" w14:textId="77777777" w:rsidR="009E3F6C" w:rsidRPr="00FA65C1" w:rsidRDefault="009E3F6C" w:rsidP="00F93469">
      <w:pPr>
        <w:pStyle w:val="Heading21"/>
      </w:pPr>
      <w:r w:rsidRPr="00FA65C1">
        <w:t>Performance of the evaluation function</w:t>
      </w:r>
      <w:bookmarkEnd w:id="1"/>
    </w:p>
    <w:p w14:paraId="2A29F9AF" w14:textId="633F1459" w:rsidR="009E3F6C" w:rsidRPr="00FA65C1" w:rsidRDefault="009E3F6C" w:rsidP="00395BDE">
      <w:pPr>
        <w:pStyle w:val="NUM1para"/>
        <w:spacing w:after="360"/>
        <w:ind w:left="1264" w:right="544"/>
      </w:pPr>
      <w:r w:rsidRPr="00FA65C1">
        <w:t xml:space="preserve">With the aim of strengthening transparency and clarity in the reporting of the performance of the evaluation function, </w:t>
      </w:r>
      <w:r w:rsidR="00EA38F6">
        <w:t xml:space="preserve">the </w:t>
      </w:r>
      <w:r w:rsidR="00EA38F6" w:rsidRPr="00EA38F6">
        <w:t>Evaluation Office</w:t>
      </w:r>
      <w:r w:rsidRPr="00EA38F6">
        <w:t xml:space="preserve"> </w:t>
      </w:r>
      <w:r w:rsidR="003D38AA">
        <w:t xml:space="preserve">this year </w:t>
      </w:r>
      <w:r w:rsidRPr="00FA65C1">
        <w:t xml:space="preserve">developed a set of </w:t>
      </w:r>
      <w:r w:rsidR="003D38AA">
        <w:t>k</w:t>
      </w:r>
      <w:r w:rsidRPr="00FA65C1">
        <w:t xml:space="preserve">ey </w:t>
      </w:r>
      <w:r w:rsidR="003D38AA">
        <w:t>p</w:t>
      </w:r>
      <w:r w:rsidRPr="00FA65C1">
        <w:t xml:space="preserve">erformance </w:t>
      </w:r>
      <w:r w:rsidR="003D38AA">
        <w:t>i</w:t>
      </w:r>
      <w:r w:rsidRPr="00FA65C1">
        <w:t>ndicators. Applied retroactively, the system allows report</w:t>
      </w:r>
      <w:r w:rsidR="003D38AA">
        <w:t>ing</w:t>
      </w:r>
      <w:r w:rsidRPr="00FA65C1">
        <w:t xml:space="preserve"> on the performance of the evaluation function over the last </w:t>
      </w:r>
      <w:r w:rsidR="003D38AA">
        <w:t>s</w:t>
      </w:r>
      <w:r w:rsidRPr="00FA65C1">
        <w:t xml:space="preserve">trategic </w:t>
      </w:r>
      <w:r w:rsidR="003D38AA">
        <w:t>p</w:t>
      </w:r>
      <w:r w:rsidRPr="00FA65C1">
        <w:t>lan</w:t>
      </w:r>
      <w:r w:rsidR="003D38AA">
        <w:t xml:space="preserve"> (</w:t>
      </w:r>
      <w:r w:rsidR="003D38AA" w:rsidRPr="003D38AA">
        <w:t>201</w:t>
      </w:r>
      <w:r w:rsidR="003D38AA">
        <w:t>4</w:t>
      </w:r>
      <w:r w:rsidR="003D38AA" w:rsidRPr="003D38AA">
        <w:t>-2017</w:t>
      </w:r>
      <w:r w:rsidR="003D38AA">
        <w:t>)</w:t>
      </w:r>
      <w:r w:rsidR="00F168B6">
        <w:t xml:space="preserve"> and beyond</w:t>
      </w:r>
      <w:r w:rsidRPr="003D38AA">
        <w:t>,</w:t>
      </w:r>
      <w:r w:rsidRPr="00FA65C1">
        <w:t xml:space="preserve"> as shown below.</w:t>
      </w:r>
    </w:p>
    <w:p w14:paraId="73FF642F" w14:textId="078EF693" w:rsidR="00EA605E" w:rsidRPr="00FA65C1" w:rsidRDefault="00EA605E" w:rsidP="00EA605E">
      <w:pPr>
        <w:pStyle w:val="FIGURE"/>
      </w:pPr>
      <w:r w:rsidRPr="00E33A21">
        <w:rPr>
          <w:b w:val="0"/>
        </w:rPr>
        <w:t>Table 1</w:t>
      </w:r>
      <w:r w:rsidRPr="00FA65C1">
        <w:br/>
        <w:t>Trends in key performance indicators, 2013-2017</w:t>
      </w:r>
    </w:p>
    <w:tbl>
      <w:tblPr>
        <w:tblW w:w="9180" w:type="dxa"/>
        <w:jc w:val="center"/>
        <w:tblBorders>
          <w:top w:val="single" w:sz="12" w:space="0" w:color="000000"/>
          <w:bottom w:val="single" w:sz="12" w:space="0" w:color="000000"/>
          <w:insideH w:val="single" w:sz="6" w:space="0" w:color="000000"/>
        </w:tblBorders>
        <w:tblLayout w:type="fixed"/>
        <w:tblLook w:val="0000" w:firstRow="0" w:lastRow="0" w:firstColumn="0" w:lastColumn="0" w:noHBand="0" w:noVBand="0"/>
      </w:tblPr>
      <w:tblGrid>
        <w:gridCol w:w="1710"/>
        <w:gridCol w:w="2160"/>
        <w:gridCol w:w="738"/>
        <w:gridCol w:w="216"/>
        <w:gridCol w:w="522"/>
        <w:gridCol w:w="720"/>
        <w:gridCol w:w="180"/>
        <w:gridCol w:w="558"/>
        <w:gridCol w:w="954"/>
        <w:gridCol w:w="1422"/>
      </w:tblGrid>
      <w:tr w:rsidR="00EA605E" w:rsidRPr="00FA65C1" w14:paraId="3C808E61" w14:textId="77777777" w:rsidTr="00CC236A">
        <w:trPr>
          <w:jc w:val="center"/>
        </w:trPr>
        <w:tc>
          <w:tcPr>
            <w:tcW w:w="1710" w:type="dxa"/>
            <w:shd w:val="clear" w:color="auto" w:fill="D9D9D9" w:themeFill="background1" w:themeFillShade="D9"/>
          </w:tcPr>
          <w:p w14:paraId="7136C3B1" w14:textId="77777777" w:rsidR="00EA605E" w:rsidRPr="00FA65C1" w:rsidRDefault="00EA605E" w:rsidP="00CC236A">
            <w:pPr>
              <w:suppressAutoHyphens/>
              <w:spacing w:before="81" w:after="81" w:line="160" w:lineRule="exact"/>
              <w:ind w:right="40"/>
              <w:rPr>
                <w:rFonts w:eastAsia="Calibri"/>
                <w:i/>
                <w:spacing w:val="4"/>
                <w:w w:val="103"/>
                <w:kern w:val="14"/>
                <w:sz w:val="17"/>
                <w:szCs w:val="17"/>
              </w:rPr>
            </w:pPr>
          </w:p>
        </w:tc>
        <w:tc>
          <w:tcPr>
            <w:tcW w:w="2160" w:type="dxa"/>
            <w:shd w:val="clear" w:color="auto" w:fill="D9D9D9" w:themeFill="background1" w:themeFillShade="D9"/>
          </w:tcPr>
          <w:p w14:paraId="5CFE4992" w14:textId="77777777" w:rsidR="00EA605E" w:rsidRPr="00FA65C1" w:rsidRDefault="00EA605E" w:rsidP="00CC236A">
            <w:pPr>
              <w:suppressAutoHyphens/>
              <w:spacing w:before="81" w:after="81" w:line="160" w:lineRule="exact"/>
              <w:ind w:left="58" w:right="43"/>
              <w:rPr>
                <w:rFonts w:eastAsia="Calibri"/>
                <w:i/>
                <w:spacing w:val="4"/>
                <w:w w:val="103"/>
                <w:kern w:val="14"/>
                <w:sz w:val="17"/>
                <w:szCs w:val="17"/>
              </w:rPr>
            </w:pPr>
          </w:p>
        </w:tc>
        <w:tc>
          <w:tcPr>
            <w:tcW w:w="738" w:type="dxa"/>
            <w:shd w:val="clear" w:color="auto" w:fill="D9D9D9" w:themeFill="background1" w:themeFillShade="D9"/>
          </w:tcPr>
          <w:p w14:paraId="22595203" w14:textId="77777777" w:rsidR="00EA605E" w:rsidRPr="00FA65C1" w:rsidRDefault="00EA605E" w:rsidP="00CC236A">
            <w:pPr>
              <w:suppressAutoHyphens/>
              <w:spacing w:before="81" w:after="81" w:line="160" w:lineRule="exact"/>
              <w:ind w:right="43"/>
              <w:jc w:val="right"/>
              <w:rPr>
                <w:rFonts w:eastAsia="Calibri"/>
                <w:b/>
                <w:spacing w:val="4"/>
                <w:w w:val="103"/>
                <w:kern w:val="14"/>
                <w:sz w:val="17"/>
                <w:szCs w:val="17"/>
              </w:rPr>
            </w:pPr>
            <w:r w:rsidRPr="00FA65C1">
              <w:rPr>
                <w:rFonts w:eastAsia="Calibri"/>
                <w:b/>
                <w:spacing w:val="4"/>
                <w:w w:val="103"/>
                <w:kern w:val="14"/>
                <w:sz w:val="17"/>
                <w:szCs w:val="17"/>
              </w:rPr>
              <w:t>2013</w:t>
            </w:r>
          </w:p>
        </w:tc>
        <w:tc>
          <w:tcPr>
            <w:tcW w:w="738" w:type="dxa"/>
            <w:gridSpan w:val="2"/>
            <w:shd w:val="clear" w:color="auto" w:fill="D9D9D9" w:themeFill="background1" w:themeFillShade="D9"/>
          </w:tcPr>
          <w:p w14:paraId="57AC0D1D" w14:textId="77777777" w:rsidR="00EA605E" w:rsidRPr="00FA65C1" w:rsidRDefault="00EA605E" w:rsidP="00CC236A">
            <w:pPr>
              <w:suppressAutoHyphens/>
              <w:spacing w:before="81" w:after="81" w:line="160" w:lineRule="exact"/>
              <w:ind w:right="43"/>
              <w:jc w:val="right"/>
              <w:rPr>
                <w:rFonts w:eastAsia="Calibri"/>
                <w:b/>
                <w:spacing w:val="4"/>
                <w:w w:val="103"/>
                <w:kern w:val="14"/>
                <w:sz w:val="17"/>
                <w:szCs w:val="17"/>
              </w:rPr>
            </w:pPr>
            <w:r w:rsidRPr="00FA65C1">
              <w:rPr>
                <w:rFonts w:eastAsia="Calibri"/>
                <w:b/>
                <w:spacing w:val="4"/>
                <w:w w:val="103"/>
                <w:kern w:val="14"/>
                <w:sz w:val="17"/>
                <w:szCs w:val="17"/>
              </w:rPr>
              <w:t>2014</w:t>
            </w:r>
          </w:p>
        </w:tc>
        <w:tc>
          <w:tcPr>
            <w:tcW w:w="720" w:type="dxa"/>
            <w:shd w:val="clear" w:color="auto" w:fill="D9D9D9" w:themeFill="background1" w:themeFillShade="D9"/>
          </w:tcPr>
          <w:p w14:paraId="7E7FEB12" w14:textId="77777777" w:rsidR="00EA605E" w:rsidRPr="00FA65C1" w:rsidRDefault="00EA605E" w:rsidP="00CC236A">
            <w:pPr>
              <w:suppressAutoHyphens/>
              <w:spacing w:before="81" w:line="160" w:lineRule="exact"/>
              <w:ind w:right="43"/>
              <w:jc w:val="right"/>
              <w:rPr>
                <w:rFonts w:eastAsia="Calibri"/>
                <w:b/>
                <w:spacing w:val="4"/>
                <w:w w:val="103"/>
                <w:kern w:val="14"/>
                <w:sz w:val="17"/>
                <w:szCs w:val="17"/>
              </w:rPr>
            </w:pPr>
            <w:r w:rsidRPr="00FA65C1">
              <w:rPr>
                <w:rFonts w:eastAsia="Calibri"/>
                <w:b/>
                <w:spacing w:val="4"/>
                <w:w w:val="103"/>
                <w:kern w:val="14"/>
                <w:sz w:val="17"/>
                <w:szCs w:val="17"/>
              </w:rPr>
              <w:t>2015</w:t>
            </w:r>
          </w:p>
        </w:tc>
        <w:tc>
          <w:tcPr>
            <w:tcW w:w="738" w:type="dxa"/>
            <w:gridSpan w:val="2"/>
            <w:shd w:val="clear" w:color="auto" w:fill="D9D9D9" w:themeFill="background1" w:themeFillShade="D9"/>
          </w:tcPr>
          <w:p w14:paraId="0C6A1411" w14:textId="77777777" w:rsidR="00EA605E" w:rsidRPr="00FA65C1" w:rsidRDefault="00EA605E" w:rsidP="00CC236A">
            <w:pPr>
              <w:suppressAutoHyphens/>
              <w:spacing w:before="81" w:line="160" w:lineRule="exact"/>
              <w:ind w:right="43"/>
              <w:jc w:val="right"/>
              <w:rPr>
                <w:rFonts w:eastAsia="Calibri"/>
                <w:b/>
                <w:spacing w:val="4"/>
                <w:w w:val="103"/>
                <w:kern w:val="14"/>
                <w:sz w:val="17"/>
                <w:szCs w:val="17"/>
              </w:rPr>
            </w:pPr>
            <w:r w:rsidRPr="00FA65C1">
              <w:rPr>
                <w:rFonts w:eastAsia="Calibri"/>
                <w:b/>
                <w:spacing w:val="4"/>
                <w:w w:val="103"/>
                <w:kern w:val="14"/>
                <w:sz w:val="17"/>
                <w:szCs w:val="17"/>
              </w:rPr>
              <w:t>2016</w:t>
            </w:r>
          </w:p>
        </w:tc>
        <w:tc>
          <w:tcPr>
            <w:tcW w:w="954" w:type="dxa"/>
            <w:shd w:val="clear" w:color="auto" w:fill="D9D9D9" w:themeFill="background1" w:themeFillShade="D9"/>
          </w:tcPr>
          <w:p w14:paraId="5C9093D6" w14:textId="77777777" w:rsidR="00EA605E" w:rsidRPr="00FA65C1" w:rsidRDefault="00EA605E" w:rsidP="00CC236A">
            <w:pPr>
              <w:suppressAutoHyphens/>
              <w:spacing w:before="81" w:line="160" w:lineRule="exact"/>
              <w:ind w:right="43"/>
              <w:jc w:val="right"/>
              <w:rPr>
                <w:rFonts w:eastAsia="Calibri"/>
                <w:b/>
                <w:spacing w:val="4"/>
                <w:w w:val="103"/>
                <w:kern w:val="14"/>
                <w:sz w:val="17"/>
                <w:szCs w:val="17"/>
              </w:rPr>
            </w:pPr>
            <w:r w:rsidRPr="00FA65C1">
              <w:rPr>
                <w:rFonts w:eastAsia="Calibri"/>
                <w:b/>
                <w:spacing w:val="4"/>
                <w:w w:val="103"/>
                <w:kern w:val="14"/>
                <w:sz w:val="17"/>
                <w:szCs w:val="17"/>
              </w:rPr>
              <w:t>2017</w:t>
            </w:r>
          </w:p>
        </w:tc>
        <w:tc>
          <w:tcPr>
            <w:tcW w:w="1422" w:type="dxa"/>
            <w:shd w:val="clear" w:color="auto" w:fill="D9D9D9" w:themeFill="background1" w:themeFillShade="D9"/>
          </w:tcPr>
          <w:p w14:paraId="31845368" w14:textId="77777777" w:rsidR="00EA605E" w:rsidRPr="00FA65C1" w:rsidRDefault="00EA605E" w:rsidP="00CC236A">
            <w:pPr>
              <w:suppressAutoHyphens/>
              <w:spacing w:before="81" w:after="81" w:line="160" w:lineRule="exact"/>
              <w:ind w:left="74" w:right="43"/>
              <w:jc w:val="center"/>
              <w:rPr>
                <w:rFonts w:eastAsia="Calibri"/>
                <w:b/>
                <w:spacing w:val="4"/>
                <w:w w:val="103"/>
                <w:kern w:val="14"/>
                <w:sz w:val="17"/>
                <w:szCs w:val="17"/>
              </w:rPr>
            </w:pPr>
            <w:r w:rsidRPr="00FA65C1">
              <w:rPr>
                <w:rFonts w:eastAsia="Calibri"/>
                <w:b/>
                <w:spacing w:val="4"/>
                <w:w w:val="103"/>
                <w:kern w:val="14"/>
                <w:sz w:val="17"/>
                <w:szCs w:val="17"/>
              </w:rPr>
              <w:t>Overall assessment</w:t>
            </w:r>
          </w:p>
        </w:tc>
      </w:tr>
      <w:tr w:rsidR="00EA605E" w:rsidRPr="00FA65C1" w14:paraId="72256A7E" w14:textId="77777777" w:rsidTr="00CC236A">
        <w:trPr>
          <w:gridAfter w:val="3"/>
          <w:wAfter w:w="2934" w:type="dxa"/>
          <w:jc w:val="center"/>
        </w:trPr>
        <w:tc>
          <w:tcPr>
            <w:tcW w:w="1710" w:type="dxa"/>
            <w:shd w:val="clear" w:color="auto" w:fill="auto"/>
          </w:tcPr>
          <w:p w14:paraId="2AE2F1A9" w14:textId="77777777" w:rsidR="00EA605E" w:rsidRPr="00FA65C1" w:rsidRDefault="00EA605E" w:rsidP="00CC236A">
            <w:pPr>
              <w:suppressAutoHyphens/>
              <w:spacing w:before="81" w:after="81" w:line="160" w:lineRule="exact"/>
              <w:ind w:right="40"/>
              <w:rPr>
                <w:rFonts w:eastAsia="Calibri"/>
                <w:b/>
                <w:spacing w:val="4"/>
                <w:w w:val="103"/>
                <w:kern w:val="14"/>
                <w:sz w:val="17"/>
                <w:szCs w:val="17"/>
              </w:rPr>
            </w:pPr>
            <w:r w:rsidRPr="00FA65C1">
              <w:rPr>
                <w:rFonts w:eastAsia="Calibri"/>
                <w:b/>
                <w:spacing w:val="4"/>
                <w:w w:val="103"/>
                <w:kern w:val="14"/>
                <w:sz w:val="17"/>
                <w:szCs w:val="17"/>
              </w:rPr>
              <w:t>Key performance indicator</w:t>
            </w:r>
          </w:p>
        </w:tc>
        <w:tc>
          <w:tcPr>
            <w:tcW w:w="2160" w:type="dxa"/>
            <w:shd w:val="clear" w:color="auto" w:fill="auto"/>
          </w:tcPr>
          <w:p w14:paraId="5F5DB2BD" w14:textId="77777777" w:rsidR="00EA605E" w:rsidRPr="00FA65C1" w:rsidRDefault="00EA605E" w:rsidP="00CC236A">
            <w:pPr>
              <w:suppressAutoHyphens/>
              <w:spacing w:before="81" w:after="81" w:line="160" w:lineRule="exact"/>
              <w:ind w:left="58" w:right="43"/>
              <w:rPr>
                <w:rFonts w:eastAsia="Calibri"/>
                <w:b/>
                <w:i/>
                <w:spacing w:val="4"/>
                <w:w w:val="103"/>
                <w:kern w:val="14"/>
                <w:sz w:val="17"/>
                <w:szCs w:val="17"/>
              </w:rPr>
            </w:pPr>
            <w:r w:rsidRPr="00FA65C1">
              <w:rPr>
                <w:rFonts w:eastAsia="Calibri"/>
                <w:b/>
                <w:i/>
                <w:spacing w:val="4"/>
                <w:w w:val="103"/>
                <w:kern w:val="14"/>
                <w:sz w:val="17"/>
                <w:szCs w:val="17"/>
              </w:rPr>
              <w:t>Description</w:t>
            </w:r>
          </w:p>
        </w:tc>
        <w:tc>
          <w:tcPr>
            <w:tcW w:w="954" w:type="dxa"/>
            <w:gridSpan w:val="2"/>
          </w:tcPr>
          <w:p w14:paraId="289EEE67" w14:textId="77777777" w:rsidR="00EA605E" w:rsidRPr="00FA65C1" w:rsidRDefault="00EA605E" w:rsidP="00CC236A">
            <w:pPr>
              <w:suppressAutoHyphens/>
              <w:spacing w:before="81" w:after="81" w:line="160" w:lineRule="exact"/>
              <w:ind w:right="43"/>
              <w:jc w:val="center"/>
              <w:rPr>
                <w:rFonts w:eastAsia="Calibri"/>
                <w:i/>
                <w:spacing w:val="4"/>
                <w:w w:val="103"/>
                <w:kern w:val="14"/>
                <w:sz w:val="17"/>
                <w:szCs w:val="17"/>
              </w:rPr>
            </w:pPr>
          </w:p>
        </w:tc>
        <w:tc>
          <w:tcPr>
            <w:tcW w:w="1422" w:type="dxa"/>
            <w:gridSpan w:val="3"/>
            <w:shd w:val="clear" w:color="auto" w:fill="auto"/>
          </w:tcPr>
          <w:p w14:paraId="742CB4EA" w14:textId="77777777" w:rsidR="00EA605E" w:rsidRPr="00FA65C1" w:rsidRDefault="00EA605E" w:rsidP="00CC236A">
            <w:pPr>
              <w:suppressAutoHyphens/>
              <w:spacing w:before="81" w:after="81" w:line="160" w:lineRule="exact"/>
              <w:ind w:left="74" w:right="43"/>
              <w:rPr>
                <w:rFonts w:eastAsia="Calibri"/>
                <w:i/>
                <w:spacing w:val="4"/>
                <w:w w:val="103"/>
                <w:kern w:val="14"/>
                <w:sz w:val="17"/>
                <w:szCs w:val="17"/>
              </w:rPr>
            </w:pPr>
          </w:p>
        </w:tc>
      </w:tr>
      <w:tr w:rsidR="00EA605E" w:rsidRPr="00FA65C1" w14:paraId="51645EBE" w14:textId="77777777" w:rsidTr="00CC236A">
        <w:trPr>
          <w:trHeight w:hRule="exact" w:val="115"/>
          <w:jc w:val="center"/>
        </w:trPr>
        <w:tc>
          <w:tcPr>
            <w:tcW w:w="1710" w:type="dxa"/>
            <w:shd w:val="clear" w:color="auto" w:fill="auto"/>
          </w:tcPr>
          <w:p w14:paraId="20735CC9" w14:textId="77777777" w:rsidR="00EA605E" w:rsidRPr="00FA65C1" w:rsidRDefault="00EA605E" w:rsidP="00CC236A">
            <w:pPr>
              <w:suppressAutoHyphens/>
              <w:spacing w:before="40" w:after="40" w:line="210" w:lineRule="exact"/>
              <w:ind w:right="40"/>
              <w:rPr>
                <w:rFonts w:eastAsia="Calibri"/>
                <w:spacing w:val="4"/>
                <w:w w:val="103"/>
                <w:kern w:val="14"/>
                <w:sz w:val="16"/>
                <w:szCs w:val="16"/>
              </w:rPr>
            </w:pPr>
          </w:p>
        </w:tc>
        <w:tc>
          <w:tcPr>
            <w:tcW w:w="2160" w:type="dxa"/>
            <w:shd w:val="clear" w:color="auto" w:fill="auto"/>
          </w:tcPr>
          <w:p w14:paraId="04BB4BFC" w14:textId="77777777" w:rsidR="00EA605E" w:rsidRPr="00FA65C1" w:rsidRDefault="00EA605E" w:rsidP="00CC236A">
            <w:pPr>
              <w:suppressAutoHyphens/>
              <w:spacing w:before="40" w:after="40" w:line="210" w:lineRule="exact"/>
              <w:ind w:left="58" w:right="43"/>
              <w:rPr>
                <w:rFonts w:eastAsia="Calibri"/>
                <w:spacing w:val="4"/>
                <w:w w:val="103"/>
                <w:kern w:val="14"/>
                <w:sz w:val="16"/>
                <w:szCs w:val="16"/>
              </w:rPr>
            </w:pPr>
          </w:p>
        </w:tc>
        <w:tc>
          <w:tcPr>
            <w:tcW w:w="738" w:type="dxa"/>
            <w:shd w:val="clear" w:color="auto" w:fill="auto"/>
          </w:tcPr>
          <w:p w14:paraId="205EC888" w14:textId="77777777" w:rsidR="00EA605E" w:rsidRPr="00FA65C1" w:rsidRDefault="00EA605E" w:rsidP="00CC236A">
            <w:pPr>
              <w:suppressAutoHyphens/>
              <w:spacing w:before="40" w:after="40" w:line="210" w:lineRule="exact"/>
              <w:ind w:right="43"/>
              <w:jc w:val="right"/>
              <w:rPr>
                <w:rFonts w:eastAsia="Calibri"/>
                <w:spacing w:val="4"/>
                <w:w w:val="103"/>
                <w:kern w:val="14"/>
                <w:sz w:val="16"/>
                <w:szCs w:val="16"/>
              </w:rPr>
            </w:pPr>
          </w:p>
        </w:tc>
        <w:tc>
          <w:tcPr>
            <w:tcW w:w="738" w:type="dxa"/>
            <w:gridSpan w:val="2"/>
            <w:shd w:val="clear" w:color="auto" w:fill="auto"/>
          </w:tcPr>
          <w:p w14:paraId="6F3FD5E8" w14:textId="77777777" w:rsidR="00EA605E" w:rsidRPr="00FA65C1" w:rsidRDefault="00EA605E" w:rsidP="00CC236A">
            <w:pPr>
              <w:suppressAutoHyphens/>
              <w:spacing w:before="40" w:after="40" w:line="210" w:lineRule="exact"/>
              <w:ind w:right="43"/>
              <w:jc w:val="right"/>
              <w:rPr>
                <w:rFonts w:eastAsia="Calibri"/>
                <w:spacing w:val="4"/>
                <w:w w:val="103"/>
                <w:kern w:val="14"/>
                <w:sz w:val="16"/>
                <w:szCs w:val="16"/>
              </w:rPr>
            </w:pPr>
          </w:p>
        </w:tc>
        <w:tc>
          <w:tcPr>
            <w:tcW w:w="720" w:type="dxa"/>
            <w:shd w:val="clear" w:color="auto" w:fill="auto"/>
          </w:tcPr>
          <w:p w14:paraId="7EFE1093" w14:textId="77777777" w:rsidR="00EA605E" w:rsidRPr="00FA65C1" w:rsidRDefault="00EA605E" w:rsidP="00CC236A">
            <w:pPr>
              <w:suppressAutoHyphens/>
              <w:spacing w:before="40" w:after="40" w:line="210" w:lineRule="exact"/>
              <w:ind w:right="43"/>
              <w:jc w:val="right"/>
              <w:rPr>
                <w:rFonts w:eastAsia="Calibri"/>
                <w:spacing w:val="4"/>
                <w:w w:val="103"/>
                <w:kern w:val="14"/>
                <w:sz w:val="16"/>
                <w:szCs w:val="16"/>
              </w:rPr>
            </w:pPr>
          </w:p>
        </w:tc>
        <w:tc>
          <w:tcPr>
            <w:tcW w:w="738" w:type="dxa"/>
            <w:gridSpan w:val="2"/>
          </w:tcPr>
          <w:p w14:paraId="73CEDBCC" w14:textId="77777777" w:rsidR="00EA605E" w:rsidRPr="00FA65C1" w:rsidRDefault="00EA605E" w:rsidP="00CC236A">
            <w:pPr>
              <w:suppressAutoHyphens/>
              <w:spacing w:before="40" w:after="40" w:line="210" w:lineRule="exact"/>
              <w:ind w:right="43"/>
              <w:jc w:val="right"/>
              <w:rPr>
                <w:rFonts w:eastAsia="Calibri"/>
                <w:spacing w:val="4"/>
                <w:w w:val="103"/>
                <w:kern w:val="14"/>
                <w:sz w:val="16"/>
                <w:szCs w:val="16"/>
              </w:rPr>
            </w:pPr>
          </w:p>
        </w:tc>
        <w:tc>
          <w:tcPr>
            <w:tcW w:w="954" w:type="dxa"/>
          </w:tcPr>
          <w:p w14:paraId="61D31FD0" w14:textId="77777777" w:rsidR="00EA605E" w:rsidRPr="00FA65C1" w:rsidRDefault="00EA605E" w:rsidP="00CC236A">
            <w:pPr>
              <w:suppressAutoHyphens/>
              <w:spacing w:before="40" w:after="40" w:line="210" w:lineRule="exact"/>
              <w:ind w:right="43"/>
              <w:jc w:val="right"/>
              <w:rPr>
                <w:rFonts w:eastAsia="Calibri"/>
                <w:spacing w:val="4"/>
                <w:w w:val="103"/>
                <w:kern w:val="14"/>
                <w:sz w:val="16"/>
                <w:szCs w:val="16"/>
              </w:rPr>
            </w:pPr>
          </w:p>
        </w:tc>
        <w:tc>
          <w:tcPr>
            <w:tcW w:w="1422" w:type="dxa"/>
            <w:shd w:val="clear" w:color="auto" w:fill="auto"/>
          </w:tcPr>
          <w:p w14:paraId="7B784E64" w14:textId="77777777" w:rsidR="00EA605E" w:rsidRPr="00FA65C1" w:rsidRDefault="00EA605E" w:rsidP="00CC236A">
            <w:pPr>
              <w:suppressAutoHyphens/>
              <w:spacing w:before="40" w:after="40" w:line="210" w:lineRule="exact"/>
              <w:ind w:left="74" w:right="43"/>
              <w:rPr>
                <w:rFonts w:eastAsia="Calibri"/>
                <w:spacing w:val="4"/>
                <w:w w:val="103"/>
                <w:kern w:val="14"/>
                <w:sz w:val="16"/>
                <w:szCs w:val="16"/>
              </w:rPr>
            </w:pPr>
          </w:p>
        </w:tc>
      </w:tr>
      <w:tr w:rsidR="00EA605E" w:rsidRPr="00FA65C1" w14:paraId="3CA05E2C" w14:textId="77777777" w:rsidTr="00CC236A">
        <w:trPr>
          <w:jc w:val="center"/>
        </w:trPr>
        <w:tc>
          <w:tcPr>
            <w:tcW w:w="1710" w:type="dxa"/>
            <w:shd w:val="clear" w:color="auto" w:fill="auto"/>
          </w:tcPr>
          <w:p w14:paraId="12938827" w14:textId="77777777" w:rsidR="00EA605E" w:rsidRPr="00FA65C1" w:rsidRDefault="00EA605E" w:rsidP="00CC236A">
            <w:pPr>
              <w:tabs>
                <w:tab w:val="left" w:pos="288"/>
                <w:tab w:val="left" w:pos="576"/>
                <w:tab w:val="left" w:pos="864"/>
                <w:tab w:val="left" w:pos="1152"/>
              </w:tabs>
              <w:suppressAutoHyphens/>
              <w:spacing w:before="40" w:after="40" w:line="210" w:lineRule="exact"/>
              <w:ind w:right="40"/>
              <w:rPr>
                <w:rFonts w:eastAsia="Calibri"/>
                <w:b/>
                <w:spacing w:val="4"/>
                <w:w w:val="103"/>
                <w:kern w:val="14"/>
                <w:sz w:val="17"/>
                <w:szCs w:val="17"/>
              </w:rPr>
            </w:pPr>
            <w:r w:rsidRPr="00FA65C1">
              <w:rPr>
                <w:rFonts w:eastAsia="Calibri"/>
                <w:b/>
                <w:spacing w:val="4"/>
                <w:w w:val="103"/>
                <w:kern w:val="14"/>
                <w:sz w:val="17"/>
                <w:szCs w:val="17"/>
              </w:rPr>
              <w:t>1. Financial resources invested in evaluation function*</w:t>
            </w:r>
          </w:p>
        </w:tc>
        <w:tc>
          <w:tcPr>
            <w:tcW w:w="2160" w:type="dxa"/>
            <w:shd w:val="clear" w:color="auto" w:fill="auto"/>
          </w:tcPr>
          <w:p w14:paraId="40DAED93" w14:textId="77777777" w:rsidR="00EA605E" w:rsidRPr="00FA65C1" w:rsidRDefault="00EA605E" w:rsidP="00CC236A">
            <w:pPr>
              <w:tabs>
                <w:tab w:val="left" w:pos="288"/>
                <w:tab w:val="left" w:pos="576"/>
                <w:tab w:val="left" w:pos="864"/>
                <w:tab w:val="left" w:pos="1152"/>
              </w:tabs>
              <w:suppressAutoHyphens/>
              <w:spacing w:before="40" w:after="40" w:line="210" w:lineRule="exact"/>
              <w:ind w:left="58" w:right="43"/>
              <w:rPr>
                <w:rFonts w:eastAsia="Calibri"/>
                <w:i/>
                <w:spacing w:val="4"/>
                <w:w w:val="103"/>
                <w:kern w:val="14"/>
                <w:sz w:val="17"/>
                <w:szCs w:val="17"/>
              </w:rPr>
            </w:pPr>
            <w:r w:rsidRPr="00FA65C1">
              <w:rPr>
                <w:rFonts w:eastAsia="Calibri"/>
                <w:i/>
                <w:spacing w:val="4"/>
                <w:w w:val="103"/>
                <w:kern w:val="14"/>
                <w:sz w:val="17"/>
                <w:szCs w:val="17"/>
              </w:rPr>
              <w:t>Budget for evaluation as a percentage of total UNFPA programme budget</w:t>
            </w:r>
          </w:p>
        </w:tc>
        <w:tc>
          <w:tcPr>
            <w:tcW w:w="738" w:type="dxa"/>
            <w:shd w:val="clear" w:color="auto" w:fill="auto"/>
          </w:tcPr>
          <w:p w14:paraId="29D8FD17"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color w:val="000000" w:themeColor="text1"/>
                <w:spacing w:val="4"/>
                <w:w w:val="103"/>
                <w:kern w:val="14"/>
                <w:sz w:val="17"/>
                <w:szCs w:val="17"/>
              </w:rPr>
            </w:pPr>
            <w:r w:rsidRPr="00F06BBC">
              <w:rPr>
                <w:rFonts w:eastAsia="Calibri"/>
                <w:i/>
                <w:color w:val="000000" w:themeColor="text1"/>
                <w:spacing w:val="4"/>
                <w:w w:val="103"/>
                <w:kern w:val="14"/>
                <w:sz w:val="17"/>
                <w:szCs w:val="17"/>
              </w:rPr>
              <w:t>-</w:t>
            </w:r>
          </w:p>
        </w:tc>
        <w:tc>
          <w:tcPr>
            <w:tcW w:w="738" w:type="dxa"/>
            <w:gridSpan w:val="2"/>
            <w:shd w:val="clear" w:color="auto" w:fill="auto"/>
          </w:tcPr>
          <w:p w14:paraId="04722949" w14:textId="0DB1E39B" w:rsidR="00EA605E" w:rsidRPr="00F06BBC" w:rsidRDefault="003D38AA" w:rsidP="00CC236A">
            <w:pPr>
              <w:tabs>
                <w:tab w:val="left" w:pos="288"/>
                <w:tab w:val="left" w:pos="792"/>
                <w:tab w:val="left" w:pos="864"/>
                <w:tab w:val="left" w:pos="1152"/>
              </w:tabs>
              <w:suppressAutoHyphens/>
              <w:spacing w:before="40" w:after="40" w:line="210" w:lineRule="exact"/>
              <w:ind w:right="-9"/>
              <w:jc w:val="right"/>
              <w:rPr>
                <w:rFonts w:eastAsia="Calibri"/>
                <w:i/>
                <w:color w:val="000000" w:themeColor="text1"/>
                <w:spacing w:val="4"/>
                <w:w w:val="103"/>
                <w:kern w:val="14"/>
                <w:sz w:val="17"/>
                <w:szCs w:val="17"/>
              </w:rPr>
            </w:pPr>
            <w:r w:rsidRPr="00F06BBC">
              <w:rPr>
                <w:i/>
                <w:sz w:val="17"/>
                <w:szCs w:val="17"/>
              </w:rPr>
              <w:t>0</w:t>
            </w:r>
            <w:r w:rsidR="00EA605E" w:rsidRPr="00F06BBC">
              <w:rPr>
                <w:i/>
                <w:sz w:val="17"/>
                <w:szCs w:val="17"/>
              </w:rPr>
              <w:t>.45</w:t>
            </w:r>
          </w:p>
        </w:tc>
        <w:tc>
          <w:tcPr>
            <w:tcW w:w="720" w:type="dxa"/>
            <w:shd w:val="clear" w:color="auto" w:fill="auto"/>
          </w:tcPr>
          <w:p w14:paraId="2AA68566" w14:textId="4A112A5A" w:rsidR="00EA605E" w:rsidRPr="00F06BBC" w:rsidRDefault="003D38AA" w:rsidP="00CC236A">
            <w:pPr>
              <w:tabs>
                <w:tab w:val="left" w:pos="288"/>
                <w:tab w:val="left" w:pos="576"/>
                <w:tab w:val="left" w:pos="864"/>
                <w:tab w:val="left" w:pos="1152"/>
              </w:tabs>
              <w:suppressAutoHyphens/>
              <w:spacing w:before="40" w:after="40" w:line="210" w:lineRule="exact"/>
              <w:ind w:right="43"/>
              <w:jc w:val="right"/>
              <w:rPr>
                <w:rFonts w:eastAsia="Calibri"/>
                <w:i/>
                <w:color w:val="000000" w:themeColor="text1"/>
                <w:spacing w:val="4"/>
                <w:w w:val="103"/>
                <w:kern w:val="14"/>
                <w:sz w:val="17"/>
                <w:szCs w:val="17"/>
              </w:rPr>
            </w:pPr>
            <w:r w:rsidRPr="00F06BBC">
              <w:rPr>
                <w:i/>
                <w:sz w:val="17"/>
                <w:szCs w:val="17"/>
              </w:rPr>
              <w:t>0</w:t>
            </w:r>
            <w:r w:rsidR="00EA605E" w:rsidRPr="00F06BBC">
              <w:rPr>
                <w:i/>
                <w:sz w:val="17"/>
                <w:szCs w:val="17"/>
              </w:rPr>
              <w:t>.69</w:t>
            </w:r>
          </w:p>
        </w:tc>
        <w:tc>
          <w:tcPr>
            <w:tcW w:w="738" w:type="dxa"/>
            <w:gridSpan w:val="2"/>
          </w:tcPr>
          <w:p w14:paraId="51587684" w14:textId="438E6291" w:rsidR="00EA605E" w:rsidRPr="00F06BBC" w:rsidRDefault="003D38AA" w:rsidP="00CC236A">
            <w:pPr>
              <w:tabs>
                <w:tab w:val="left" w:pos="288"/>
                <w:tab w:val="left" w:pos="576"/>
                <w:tab w:val="left" w:pos="864"/>
                <w:tab w:val="left" w:pos="1152"/>
              </w:tabs>
              <w:suppressAutoHyphens/>
              <w:spacing w:before="40" w:after="40" w:line="210" w:lineRule="exact"/>
              <w:ind w:right="43"/>
              <w:jc w:val="right"/>
              <w:rPr>
                <w:rFonts w:eastAsia="Calibri"/>
                <w:i/>
                <w:color w:val="000000" w:themeColor="text1"/>
                <w:spacing w:val="4"/>
                <w:w w:val="103"/>
                <w:kern w:val="14"/>
                <w:sz w:val="17"/>
                <w:szCs w:val="17"/>
              </w:rPr>
            </w:pPr>
            <w:r w:rsidRPr="00F06BBC">
              <w:rPr>
                <w:i/>
                <w:sz w:val="17"/>
                <w:szCs w:val="17"/>
              </w:rPr>
              <w:t>0</w:t>
            </w:r>
            <w:r w:rsidR="00EA605E" w:rsidRPr="00F06BBC">
              <w:rPr>
                <w:i/>
                <w:sz w:val="17"/>
                <w:szCs w:val="17"/>
              </w:rPr>
              <w:t>.91</w:t>
            </w:r>
          </w:p>
        </w:tc>
        <w:tc>
          <w:tcPr>
            <w:tcW w:w="954" w:type="dxa"/>
          </w:tcPr>
          <w:p w14:paraId="49C78556" w14:textId="584BA9BD" w:rsidR="00EA605E" w:rsidRPr="00652A5D" w:rsidRDefault="00F168B6"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652A5D">
              <w:rPr>
                <w:rFonts w:eastAsia="Calibri"/>
                <w:i/>
                <w:spacing w:val="4"/>
                <w:w w:val="103"/>
                <w:kern w:val="14"/>
                <w:sz w:val="17"/>
                <w:szCs w:val="17"/>
              </w:rPr>
              <w:t>0.83</w:t>
            </w:r>
          </w:p>
        </w:tc>
        <w:tc>
          <w:tcPr>
            <w:tcW w:w="1422" w:type="dxa"/>
            <w:shd w:val="clear" w:color="auto" w:fill="auto"/>
          </w:tcPr>
          <w:p w14:paraId="065316DA" w14:textId="77777777" w:rsidR="00EA605E" w:rsidRPr="00FA65C1" w:rsidRDefault="00EA605E" w:rsidP="00CC236A">
            <w:pPr>
              <w:tabs>
                <w:tab w:val="left" w:pos="288"/>
                <w:tab w:val="left" w:pos="576"/>
                <w:tab w:val="left" w:pos="864"/>
                <w:tab w:val="left" w:pos="1152"/>
              </w:tabs>
              <w:suppressAutoHyphens/>
              <w:spacing w:before="40" w:after="40" w:line="210" w:lineRule="exact"/>
              <w:ind w:left="74" w:right="43"/>
              <w:rPr>
                <w:rFonts w:eastAsia="Calibri"/>
                <w:spacing w:val="4"/>
                <w:w w:val="103"/>
                <w:kern w:val="14"/>
                <w:sz w:val="17"/>
                <w:szCs w:val="17"/>
              </w:rPr>
            </w:pPr>
            <w:r w:rsidRPr="00FA65C1">
              <w:rPr>
                <w:rFonts w:eastAsia="Calibri"/>
                <w:spacing w:val="4"/>
                <w:w w:val="103"/>
                <w:kern w:val="14"/>
                <w:sz w:val="17"/>
                <w:szCs w:val="17"/>
              </w:rPr>
              <w:t>Overall positive trend, but far from reaching target of 3%</w:t>
            </w:r>
          </w:p>
        </w:tc>
      </w:tr>
      <w:tr w:rsidR="00EA605E" w:rsidRPr="00FA65C1" w14:paraId="14780481" w14:textId="77777777" w:rsidTr="00CC236A">
        <w:trPr>
          <w:jc w:val="center"/>
        </w:trPr>
        <w:tc>
          <w:tcPr>
            <w:tcW w:w="1710" w:type="dxa"/>
            <w:shd w:val="clear" w:color="auto" w:fill="auto"/>
          </w:tcPr>
          <w:p w14:paraId="6F498191" w14:textId="0273B360" w:rsidR="00EA605E" w:rsidRPr="00FA65C1" w:rsidRDefault="00EA605E" w:rsidP="00CC236A">
            <w:pPr>
              <w:tabs>
                <w:tab w:val="left" w:pos="288"/>
                <w:tab w:val="left" w:pos="576"/>
                <w:tab w:val="left" w:pos="864"/>
                <w:tab w:val="left" w:pos="1152"/>
              </w:tabs>
              <w:suppressAutoHyphens/>
              <w:spacing w:before="40" w:after="40" w:line="210" w:lineRule="exact"/>
              <w:ind w:right="40"/>
              <w:rPr>
                <w:rFonts w:eastAsia="Calibri"/>
                <w:b/>
                <w:spacing w:val="4"/>
                <w:w w:val="103"/>
                <w:kern w:val="14"/>
                <w:sz w:val="17"/>
                <w:szCs w:val="17"/>
              </w:rPr>
            </w:pPr>
            <w:r w:rsidRPr="00FA65C1">
              <w:rPr>
                <w:rFonts w:eastAsia="Calibri"/>
                <w:b/>
                <w:spacing w:val="4"/>
                <w:w w:val="103"/>
                <w:kern w:val="14"/>
                <w:sz w:val="17"/>
                <w:szCs w:val="17"/>
              </w:rPr>
              <w:lastRenderedPageBreak/>
              <w:t>2. Human resource</w:t>
            </w:r>
            <w:r w:rsidR="003D38AA">
              <w:rPr>
                <w:rFonts w:eastAsia="Calibri"/>
                <w:b/>
                <w:spacing w:val="4"/>
                <w:w w:val="103"/>
                <w:kern w:val="14"/>
                <w:sz w:val="17"/>
                <w:szCs w:val="17"/>
              </w:rPr>
              <w:t>s for monitoring and evaluation</w:t>
            </w:r>
          </w:p>
        </w:tc>
        <w:tc>
          <w:tcPr>
            <w:tcW w:w="2160" w:type="dxa"/>
            <w:shd w:val="clear" w:color="auto" w:fill="auto"/>
          </w:tcPr>
          <w:p w14:paraId="71FC91BB" w14:textId="4EE749C2" w:rsidR="00EA605E" w:rsidRPr="00FA65C1" w:rsidRDefault="00EA605E" w:rsidP="00F06BBC">
            <w:pPr>
              <w:tabs>
                <w:tab w:val="left" w:pos="288"/>
                <w:tab w:val="left" w:pos="576"/>
                <w:tab w:val="left" w:pos="864"/>
                <w:tab w:val="left" w:pos="1152"/>
              </w:tabs>
              <w:suppressAutoHyphens/>
              <w:spacing w:before="40" w:after="40" w:line="210" w:lineRule="exact"/>
              <w:ind w:left="58" w:right="43"/>
              <w:rPr>
                <w:rFonts w:eastAsia="Calibri"/>
                <w:i/>
                <w:spacing w:val="4"/>
                <w:w w:val="103"/>
                <w:kern w:val="14"/>
                <w:sz w:val="17"/>
                <w:szCs w:val="17"/>
              </w:rPr>
            </w:pPr>
            <w:r w:rsidRPr="00FA65C1">
              <w:rPr>
                <w:rFonts w:eastAsia="Calibri"/>
                <w:i/>
                <w:spacing w:val="4"/>
                <w:w w:val="103"/>
                <w:kern w:val="14"/>
                <w:sz w:val="17"/>
                <w:szCs w:val="17"/>
              </w:rPr>
              <w:t xml:space="preserve">Percentage of </w:t>
            </w:r>
            <w:r w:rsidR="00F06BBC">
              <w:rPr>
                <w:rFonts w:eastAsia="Calibri"/>
                <w:i/>
                <w:spacing w:val="4"/>
                <w:w w:val="103"/>
                <w:kern w:val="14"/>
                <w:sz w:val="17"/>
                <w:szCs w:val="17"/>
              </w:rPr>
              <w:t>c</w:t>
            </w:r>
            <w:r w:rsidRPr="00FA65C1">
              <w:rPr>
                <w:rFonts w:eastAsia="Calibri"/>
                <w:i/>
                <w:spacing w:val="4"/>
                <w:w w:val="103"/>
                <w:kern w:val="14"/>
                <w:sz w:val="17"/>
                <w:szCs w:val="17"/>
              </w:rPr>
              <w:t xml:space="preserve">ountry </w:t>
            </w:r>
            <w:r w:rsidR="00F06BBC">
              <w:rPr>
                <w:rFonts w:eastAsia="Calibri"/>
                <w:i/>
                <w:spacing w:val="4"/>
                <w:w w:val="103"/>
                <w:kern w:val="14"/>
                <w:sz w:val="17"/>
                <w:szCs w:val="17"/>
              </w:rPr>
              <w:t>o</w:t>
            </w:r>
            <w:r w:rsidRPr="00FA65C1">
              <w:rPr>
                <w:rFonts w:eastAsia="Calibri"/>
                <w:i/>
                <w:spacing w:val="4"/>
                <w:w w:val="103"/>
                <w:kern w:val="14"/>
                <w:sz w:val="17"/>
                <w:szCs w:val="17"/>
              </w:rPr>
              <w:t>ffices staffed with a monitoring and evaluation focal point or officer</w:t>
            </w:r>
          </w:p>
        </w:tc>
        <w:tc>
          <w:tcPr>
            <w:tcW w:w="738" w:type="dxa"/>
            <w:shd w:val="clear" w:color="auto" w:fill="auto"/>
          </w:tcPr>
          <w:p w14:paraId="016FAF18" w14:textId="273AF147" w:rsidR="00EA605E" w:rsidRPr="00F06BBC" w:rsidRDefault="00EA605E" w:rsidP="00F06BBC">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100</w:t>
            </w:r>
          </w:p>
        </w:tc>
        <w:tc>
          <w:tcPr>
            <w:tcW w:w="738" w:type="dxa"/>
            <w:gridSpan w:val="2"/>
            <w:shd w:val="clear" w:color="auto" w:fill="auto"/>
          </w:tcPr>
          <w:p w14:paraId="349CDE72" w14:textId="157CA7A1" w:rsidR="00EA605E" w:rsidRPr="00F06BBC" w:rsidRDefault="00EA605E" w:rsidP="00F06BBC">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100</w:t>
            </w:r>
          </w:p>
        </w:tc>
        <w:tc>
          <w:tcPr>
            <w:tcW w:w="720" w:type="dxa"/>
            <w:shd w:val="clear" w:color="auto" w:fill="auto"/>
          </w:tcPr>
          <w:p w14:paraId="010E9422"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95.9</w:t>
            </w:r>
          </w:p>
        </w:tc>
        <w:tc>
          <w:tcPr>
            <w:tcW w:w="738" w:type="dxa"/>
            <w:gridSpan w:val="2"/>
          </w:tcPr>
          <w:p w14:paraId="27559DBA"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99.2</w:t>
            </w:r>
          </w:p>
        </w:tc>
        <w:tc>
          <w:tcPr>
            <w:tcW w:w="954" w:type="dxa"/>
          </w:tcPr>
          <w:p w14:paraId="1A90C1B4"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96.7</w:t>
            </w:r>
          </w:p>
        </w:tc>
        <w:tc>
          <w:tcPr>
            <w:tcW w:w="1422" w:type="dxa"/>
            <w:shd w:val="clear" w:color="auto" w:fill="auto"/>
          </w:tcPr>
          <w:p w14:paraId="3E63C48C" w14:textId="77777777" w:rsidR="00EA605E" w:rsidRPr="00FA65C1" w:rsidRDefault="00EA605E" w:rsidP="00CC236A">
            <w:pPr>
              <w:tabs>
                <w:tab w:val="left" w:pos="288"/>
                <w:tab w:val="left" w:pos="576"/>
                <w:tab w:val="left" w:pos="864"/>
                <w:tab w:val="left" w:pos="1152"/>
              </w:tabs>
              <w:suppressAutoHyphens/>
              <w:spacing w:before="40" w:after="40" w:line="210" w:lineRule="exact"/>
              <w:ind w:left="74" w:right="43"/>
              <w:rPr>
                <w:rFonts w:eastAsia="Calibri"/>
                <w:spacing w:val="4"/>
                <w:w w:val="103"/>
                <w:kern w:val="14"/>
                <w:sz w:val="17"/>
                <w:szCs w:val="17"/>
              </w:rPr>
            </w:pPr>
            <w:r w:rsidRPr="00FA65C1">
              <w:rPr>
                <w:rFonts w:eastAsia="Calibri"/>
                <w:spacing w:val="4"/>
                <w:w w:val="103"/>
                <w:kern w:val="14"/>
                <w:sz w:val="17"/>
                <w:szCs w:val="17"/>
              </w:rPr>
              <w:t>Overall stable trend, closed to totality of COs with M&amp;E staff</w:t>
            </w:r>
          </w:p>
        </w:tc>
      </w:tr>
      <w:tr w:rsidR="00EA605E" w:rsidRPr="00FA65C1" w14:paraId="490A6B37" w14:textId="77777777" w:rsidTr="00CC236A">
        <w:trPr>
          <w:jc w:val="center"/>
        </w:trPr>
        <w:tc>
          <w:tcPr>
            <w:tcW w:w="1710" w:type="dxa"/>
            <w:shd w:val="clear" w:color="auto" w:fill="auto"/>
          </w:tcPr>
          <w:p w14:paraId="5B5193F1" w14:textId="35213402" w:rsidR="00EA605E" w:rsidRPr="00FA65C1" w:rsidRDefault="00EA605E" w:rsidP="00CC236A">
            <w:pPr>
              <w:tabs>
                <w:tab w:val="left" w:pos="288"/>
                <w:tab w:val="left" w:pos="576"/>
                <w:tab w:val="left" w:pos="864"/>
                <w:tab w:val="left" w:pos="1152"/>
              </w:tabs>
              <w:suppressAutoHyphens/>
              <w:spacing w:before="40" w:after="40" w:line="210" w:lineRule="exact"/>
              <w:ind w:right="40"/>
              <w:rPr>
                <w:rFonts w:eastAsia="Calibri"/>
                <w:b/>
                <w:spacing w:val="4"/>
                <w:w w:val="103"/>
                <w:kern w:val="14"/>
                <w:sz w:val="17"/>
                <w:szCs w:val="17"/>
              </w:rPr>
            </w:pPr>
            <w:r w:rsidRPr="00FA65C1">
              <w:rPr>
                <w:rFonts w:eastAsia="Calibri"/>
                <w:b/>
                <w:spacing w:val="4"/>
                <w:w w:val="103"/>
                <w:kern w:val="14"/>
                <w:sz w:val="17"/>
                <w:szCs w:val="17"/>
              </w:rPr>
              <w:t>3. Evaluation Coverage**</w:t>
            </w:r>
          </w:p>
        </w:tc>
        <w:tc>
          <w:tcPr>
            <w:tcW w:w="2160" w:type="dxa"/>
            <w:shd w:val="clear" w:color="auto" w:fill="auto"/>
          </w:tcPr>
          <w:p w14:paraId="63A55E8A" w14:textId="77777777" w:rsidR="00EA605E" w:rsidRPr="00FA65C1" w:rsidRDefault="00EA605E" w:rsidP="00CC236A">
            <w:pPr>
              <w:tabs>
                <w:tab w:val="left" w:pos="288"/>
                <w:tab w:val="left" w:pos="576"/>
                <w:tab w:val="left" w:pos="864"/>
                <w:tab w:val="left" w:pos="1152"/>
              </w:tabs>
              <w:suppressAutoHyphens/>
              <w:spacing w:before="40" w:after="40" w:line="210" w:lineRule="exact"/>
              <w:ind w:left="58" w:right="43"/>
              <w:rPr>
                <w:rFonts w:eastAsia="Calibri"/>
                <w:i/>
                <w:spacing w:val="4"/>
                <w:w w:val="103"/>
                <w:kern w:val="14"/>
                <w:sz w:val="17"/>
                <w:szCs w:val="17"/>
              </w:rPr>
            </w:pPr>
            <w:r w:rsidRPr="00FA65C1">
              <w:rPr>
                <w:rFonts w:eastAsia="Calibri"/>
                <w:i/>
                <w:spacing w:val="4"/>
                <w:w w:val="103"/>
                <w:kern w:val="14"/>
                <w:sz w:val="17"/>
                <w:szCs w:val="17"/>
              </w:rPr>
              <w:t>Percentage of country offices that have conducted a country programme evaluation once every two cycles</w:t>
            </w:r>
          </w:p>
        </w:tc>
        <w:tc>
          <w:tcPr>
            <w:tcW w:w="738" w:type="dxa"/>
            <w:shd w:val="clear" w:color="auto" w:fill="auto"/>
          </w:tcPr>
          <w:p w14:paraId="5A28B3BD"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w:t>
            </w:r>
          </w:p>
        </w:tc>
        <w:tc>
          <w:tcPr>
            <w:tcW w:w="738" w:type="dxa"/>
            <w:gridSpan w:val="2"/>
            <w:shd w:val="clear" w:color="auto" w:fill="auto"/>
          </w:tcPr>
          <w:p w14:paraId="6684512B"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w:t>
            </w:r>
          </w:p>
        </w:tc>
        <w:tc>
          <w:tcPr>
            <w:tcW w:w="720" w:type="dxa"/>
            <w:shd w:val="clear" w:color="auto" w:fill="auto"/>
          </w:tcPr>
          <w:p w14:paraId="7D2AD3F5" w14:textId="77777777" w:rsidR="00EA605E" w:rsidRPr="00F06BBC" w:rsidRDefault="00EA605E" w:rsidP="00CC236A">
            <w:pPr>
              <w:tabs>
                <w:tab w:val="left" w:pos="240"/>
                <w:tab w:val="left" w:pos="288"/>
                <w:tab w:val="right" w:pos="461"/>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w:t>
            </w:r>
          </w:p>
        </w:tc>
        <w:tc>
          <w:tcPr>
            <w:tcW w:w="738" w:type="dxa"/>
            <w:gridSpan w:val="2"/>
          </w:tcPr>
          <w:p w14:paraId="6F124913"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w:t>
            </w:r>
          </w:p>
        </w:tc>
        <w:tc>
          <w:tcPr>
            <w:tcW w:w="954" w:type="dxa"/>
          </w:tcPr>
          <w:p w14:paraId="2B8A4D79"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80.0</w:t>
            </w:r>
          </w:p>
        </w:tc>
        <w:tc>
          <w:tcPr>
            <w:tcW w:w="1422" w:type="dxa"/>
            <w:shd w:val="clear" w:color="auto" w:fill="auto"/>
          </w:tcPr>
          <w:p w14:paraId="73CAE043" w14:textId="77777777" w:rsidR="00EA605E" w:rsidRPr="00FA65C1" w:rsidRDefault="00EA605E" w:rsidP="00CC236A">
            <w:pPr>
              <w:tabs>
                <w:tab w:val="left" w:pos="288"/>
                <w:tab w:val="left" w:pos="576"/>
                <w:tab w:val="left" w:pos="864"/>
                <w:tab w:val="left" w:pos="1152"/>
              </w:tabs>
              <w:suppressAutoHyphens/>
              <w:spacing w:before="40" w:after="40" w:line="210" w:lineRule="exact"/>
              <w:ind w:right="43"/>
              <w:rPr>
                <w:rFonts w:eastAsia="Calibri"/>
                <w:spacing w:val="4"/>
                <w:w w:val="103"/>
                <w:kern w:val="14"/>
                <w:sz w:val="17"/>
                <w:szCs w:val="17"/>
              </w:rPr>
            </w:pPr>
            <w:r w:rsidRPr="00FA65C1">
              <w:rPr>
                <w:rFonts w:eastAsia="Calibri"/>
                <w:spacing w:val="4"/>
                <w:w w:val="103"/>
                <w:kern w:val="14"/>
                <w:sz w:val="17"/>
                <w:szCs w:val="17"/>
              </w:rPr>
              <w:t>Improvement needed</w:t>
            </w:r>
          </w:p>
        </w:tc>
      </w:tr>
      <w:tr w:rsidR="00EA605E" w:rsidRPr="00FA65C1" w14:paraId="01D055BC" w14:textId="77777777" w:rsidTr="00CC236A">
        <w:trPr>
          <w:jc w:val="center"/>
        </w:trPr>
        <w:tc>
          <w:tcPr>
            <w:tcW w:w="1710" w:type="dxa"/>
            <w:shd w:val="clear" w:color="auto" w:fill="auto"/>
          </w:tcPr>
          <w:p w14:paraId="2FC00701" w14:textId="77777777" w:rsidR="00EA605E" w:rsidRPr="00FA65C1" w:rsidRDefault="00EA605E" w:rsidP="00CC236A">
            <w:pPr>
              <w:tabs>
                <w:tab w:val="left" w:pos="288"/>
                <w:tab w:val="left" w:pos="576"/>
                <w:tab w:val="left" w:pos="864"/>
                <w:tab w:val="left" w:pos="1152"/>
              </w:tabs>
              <w:suppressAutoHyphens/>
              <w:spacing w:before="40" w:after="40" w:line="210" w:lineRule="exact"/>
              <w:ind w:right="40"/>
              <w:rPr>
                <w:rFonts w:eastAsia="Calibri"/>
                <w:b/>
                <w:spacing w:val="4"/>
                <w:w w:val="103"/>
                <w:kern w:val="14"/>
                <w:sz w:val="17"/>
                <w:szCs w:val="17"/>
              </w:rPr>
            </w:pPr>
            <w:r w:rsidRPr="00FA65C1">
              <w:rPr>
                <w:rFonts w:eastAsia="Calibri"/>
                <w:b/>
                <w:spacing w:val="4"/>
                <w:w w:val="103"/>
                <w:kern w:val="14"/>
                <w:sz w:val="17"/>
                <w:szCs w:val="17"/>
              </w:rPr>
              <w:t>4. Evaluation implementation rate***</w:t>
            </w:r>
          </w:p>
        </w:tc>
        <w:tc>
          <w:tcPr>
            <w:tcW w:w="2160" w:type="dxa"/>
            <w:shd w:val="clear" w:color="auto" w:fill="auto"/>
          </w:tcPr>
          <w:p w14:paraId="74D98C06" w14:textId="77777777" w:rsidR="00EA605E" w:rsidRPr="00FA65C1" w:rsidRDefault="00EA605E" w:rsidP="00CC236A">
            <w:pPr>
              <w:tabs>
                <w:tab w:val="left" w:pos="288"/>
                <w:tab w:val="left" w:pos="576"/>
                <w:tab w:val="left" w:pos="864"/>
                <w:tab w:val="left" w:pos="1152"/>
              </w:tabs>
              <w:suppressAutoHyphens/>
              <w:spacing w:before="40" w:after="40" w:line="210" w:lineRule="exact"/>
              <w:ind w:left="58" w:right="43"/>
              <w:rPr>
                <w:rFonts w:eastAsia="Calibri"/>
                <w:i/>
                <w:spacing w:val="4"/>
                <w:w w:val="103"/>
                <w:kern w:val="14"/>
                <w:sz w:val="17"/>
                <w:szCs w:val="17"/>
              </w:rPr>
            </w:pPr>
            <w:r w:rsidRPr="00FA65C1">
              <w:rPr>
                <w:rFonts w:eastAsia="Calibri"/>
                <w:i/>
                <w:spacing w:val="4"/>
                <w:w w:val="103"/>
                <w:kern w:val="14"/>
                <w:sz w:val="17"/>
                <w:szCs w:val="17"/>
              </w:rPr>
              <w:t>Percentage of planned evaluations being implemented</w:t>
            </w:r>
          </w:p>
        </w:tc>
        <w:tc>
          <w:tcPr>
            <w:tcW w:w="738" w:type="dxa"/>
            <w:shd w:val="clear" w:color="auto" w:fill="auto"/>
          </w:tcPr>
          <w:p w14:paraId="58DDBA24"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w:t>
            </w:r>
          </w:p>
        </w:tc>
        <w:tc>
          <w:tcPr>
            <w:tcW w:w="738" w:type="dxa"/>
            <w:gridSpan w:val="2"/>
            <w:shd w:val="clear" w:color="auto" w:fill="auto"/>
          </w:tcPr>
          <w:p w14:paraId="4D3AC993"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w:t>
            </w:r>
          </w:p>
        </w:tc>
        <w:tc>
          <w:tcPr>
            <w:tcW w:w="720" w:type="dxa"/>
            <w:shd w:val="clear" w:color="auto" w:fill="auto"/>
          </w:tcPr>
          <w:p w14:paraId="6353E5B7" w14:textId="77777777" w:rsidR="00EA605E" w:rsidRPr="00F06BBC" w:rsidRDefault="00EA605E" w:rsidP="00CC236A">
            <w:pPr>
              <w:tabs>
                <w:tab w:val="left" w:pos="240"/>
                <w:tab w:val="left" w:pos="288"/>
                <w:tab w:val="right" w:pos="461"/>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w:t>
            </w:r>
          </w:p>
        </w:tc>
        <w:tc>
          <w:tcPr>
            <w:tcW w:w="738" w:type="dxa"/>
            <w:gridSpan w:val="2"/>
          </w:tcPr>
          <w:p w14:paraId="24A08B1A"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60.0</w:t>
            </w:r>
          </w:p>
        </w:tc>
        <w:tc>
          <w:tcPr>
            <w:tcW w:w="954" w:type="dxa"/>
          </w:tcPr>
          <w:p w14:paraId="3E053452"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55.0</w:t>
            </w:r>
          </w:p>
        </w:tc>
        <w:tc>
          <w:tcPr>
            <w:tcW w:w="1422" w:type="dxa"/>
            <w:shd w:val="clear" w:color="auto" w:fill="auto"/>
          </w:tcPr>
          <w:p w14:paraId="68B4F964" w14:textId="77777777" w:rsidR="00EA605E" w:rsidRPr="00F06BBC" w:rsidRDefault="00EA605E" w:rsidP="00CC236A">
            <w:pPr>
              <w:tabs>
                <w:tab w:val="left" w:pos="288"/>
                <w:tab w:val="left" w:pos="576"/>
                <w:tab w:val="left" w:pos="864"/>
                <w:tab w:val="left" w:pos="1152"/>
              </w:tabs>
              <w:suppressAutoHyphens/>
              <w:spacing w:before="40" w:after="40" w:line="210" w:lineRule="exact"/>
              <w:ind w:left="74" w:right="43"/>
              <w:rPr>
                <w:rFonts w:eastAsia="Calibri"/>
                <w:spacing w:val="4"/>
                <w:w w:val="103"/>
                <w:kern w:val="14"/>
                <w:sz w:val="17"/>
                <w:szCs w:val="17"/>
              </w:rPr>
            </w:pPr>
            <w:r w:rsidRPr="00F06BBC">
              <w:rPr>
                <w:rFonts w:eastAsia="Calibri"/>
                <w:spacing w:val="4"/>
                <w:w w:val="103"/>
                <w:kern w:val="14"/>
                <w:sz w:val="17"/>
                <w:szCs w:val="17"/>
              </w:rPr>
              <w:t>Improvement needed</w:t>
            </w:r>
          </w:p>
        </w:tc>
      </w:tr>
      <w:tr w:rsidR="00EA605E" w:rsidRPr="00FA65C1" w14:paraId="457F9F20" w14:textId="77777777" w:rsidTr="00CC236A">
        <w:trPr>
          <w:jc w:val="center"/>
        </w:trPr>
        <w:tc>
          <w:tcPr>
            <w:tcW w:w="1710" w:type="dxa"/>
            <w:shd w:val="clear" w:color="auto" w:fill="auto"/>
          </w:tcPr>
          <w:p w14:paraId="3075D00F" w14:textId="77777777" w:rsidR="00EA605E" w:rsidRPr="00FA65C1" w:rsidRDefault="00EA605E" w:rsidP="00CC236A">
            <w:pPr>
              <w:tabs>
                <w:tab w:val="left" w:pos="288"/>
                <w:tab w:val="left" w:pos="576"/>
                <w:tab w:val="left" w:pos="864"/>
                <w:tab w:val="left" w:pos="1152"/>
              </w:tabs>
              <w:suppressAutoHyphens/>
              <w:spacing w:before="40" w:after="40" w:line="210" w:lineRule="exact"/>
              <w:ind w:right="40"/>
              <w:rPr>
                <w:rFonts w:eastAsia="Calibri"/>
                <w:b/>
                <w:spacing w:val="4"/>
                <w:w w:val="103"/>
                <w:kern w:val="14"/>
                <w:sz w:val="17"/>
                <w:szCs w:val="17"/>
              </w:rPr>
            </w:pPr>
            <w:r w:rsidRPr="00FA65C1">
              <w:rPr>
                <w:rFonts w:eastAsia="Calibri"/>
                <w:b/>
                <w:spacing w:val="4"/>
                <w:w w:val="103"/>
                <w:kern w:val="14"/>
                <w:sz w:val="17"/>
                <w:szCs w:val="17"/>
              </w:rPr>
              <w:t>5. Quality of evaluations</w:t>
            </w:r>
          </w:p>
        </w:tc>
        <w:tc>
          <w:tcPr>
            <w:tcW w:w="2160" w:type="dxa"/>
            <w:shd w:val="clear" w:color="auto" w:fill="auto"/>
          </w:tcPr>
          <w:p w14:paraId="32BBA339" w14:textId="77777777" w:rsidR="00EA605E" w:rsidRPr="00FA65C1" w:rsidRDefault="00EA605E" w:rsidP="00F06BBC">
            <w:pPr>
              <w:tabs>
                <w:tab w:val="left" w:pos="288"/>
                <w:tab w:val="left" w:pos="576"/>
                <w:tab w:val="left" w:pos="864"/>
                <w:tab w:val="left" w:pos="1152"/>
              </w:tabs>
              <w:suppressAutoHyphens/>
              <w:spacing w:before="40" w:after="40" w:line="210" w:lineRule="exact"/>
              <w:ind w:left="25" w:right="43"/>
              <w:rPr>
                <w:rFonts w:eastAsia="Calibri"/>
                <w:i/>
                <w:spacing w:val="4"/>
                <w:w w:val="103"/>
                <w:kern w:val="14"/>
                <w:sz w:val="17"/>
                <w:szCs w:val="17"/>
              </w:rPr>
            </w:pPr>
            <w:r w:rsidRPr="00FA65C1">
              <w:rPr>
                <w:rFonts w:eastAsia="Calibri"/>
                <w:i/>
                <w:spacing w:val="4"/>
                <w:w w:val="103"/>
                <w:kern w:val="14"/>
                <w:sz w:val="17"/>
                <w:szCs w:val="17"/>
              </w:rPr>
              <w:t>Percentage of evaluations rated “good” and above</w:t>
            </w:r>
          </w:p>
        </w:tc>
        <w:tc>
          <w:tcPr>
            <w:tcW w:w="738" w:type="dxa"/>
            <w:shd w:val="clear" w:color="auto" w:fill="auto"/>
          </w:tcPr>
          <w:p w14:paraId="63718F08"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center"/>
              <w:rPr>
                <w:rFonts w:eastAsia="Calibri"/>
                <w:i/>
                <w:spacing w:val="4"/>
                <w:w w:val="103"/>
                <w:kern w:val="14"/>
                <w:sz w:val="17"/>
                <w:szCs w:val="17"/>
              </w:rPr>
            </w:pPr>
            <w:r w:rsidRPr="00F06BBC">
              <w:rPr>
                <w:rFonts w:eastAsia="Calibri"/>
                <w:i/>
                <w:spacing w:val="4"/>
                <w:w w:val="103"/>
                <w:kern w:val="14"/>
                <w:sz w:val="17"/>
                <w:szCs w:val="17"/>
              </w:rPr>
              <w:t>-</w:t>
            </w:r>
          </w:p>
        </w:tc>
        <w:tc>
          <w:tcPr>
            <w:tcW w:w="738" w:type="dxa"/>
            <w:gridSpan w:val="2"/>
            <w:shd w:val="clear" w:color="auto" w:fill="auto"/>
          </w:tcPr>
          <w:p w14:paraId="16891122"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50.0</w:t>
            </w:r>
          </w:p>
        </w:tc>
        <w:tc>
          <w:tcPr>
            <w:tcW w:w="720" w:type="dxa"/>
            <w:shd w:val="clear" w:color="auto" w:fill="auto"/>
          </w:tcPr>
          <w:p w14:paraId="2362F60F"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77.0</w:t>
            </w:r>
          </w:p>
        </w:tc>
        <w:tc>
          <w:tcPr>
            <w:tcW w:w="738" w:type="dxa"/>
            <w:gridSpan w:val="2"/>
          </w:tcPr>
          <w:p w14:paraId="26865379"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92.0</w:t>
            </w:r>
          </w:p>
        </w:tc>
        <w:tc>
          <w:tcPr>
            <w:tcW w:w="954" w:type="dxa"/>
          </w:tcPr>
          <w:p w14:paraId="0A3D2160" w14:textId="3F097C68" w:rsidR="00EA605E" w:rsidRPr="00F06BBC" w:rsidRDefault="00EA605E" w:rsidP="00F06BBC">
            <w:pPr>
              <w:suppressAutoHyphens/>
              <w:spacing w:before="40" w:after="40" w:line="210" w:lineRule="exact"/>
              <w:ind w:right="-431"/>
              <w:jc w:val="center"/>
              <w:rPr>
                <w:rFonts w:eastAsia="Calibri"/>
                <w:i/>
                <w:spacing w:val="4"/>
                <w:w w:val="103"/>
                <w:kern w:val="14"/>
                <w:sz w:val="17"/>
                <w:szCs w:val="17"/>
              </w:rPr>
            </w:pPr>
            <w:r w:rsidRPr="00F06BBC">
              <w:rPr>
                <w:rFonts w:eastAsia="Calibri"/>
                <w:i/>
                <w:spacing w:val="4"/>
                <w:w w:val="103"/>
                <w:kern w:val="14"/>
                <w:sz w:val="17"/>
                <w:szCs w:val="17"/>
              </w:rPr>
              <w:t>9</w:t>
            </w:r>
            <w:r w:rsidR="00652A5D">
              <w:rPr>
                <w:rFonts w:eastAsia="Calibri"/>
                <w:i/>
                <w:spacing w:val="4"/>
                <w:w w:val="103"/>
                <w:kern w:val="14"/>
                <w:sz w:val="17"/>
                <w:szCs w:val="17"/>
              </w:rPr>
              <w:t>5</w:t>
            </w:r>
            <w:r w:rsidRPr="00F06BBC">
              <w:rPr>
                <w:rFonts w:eastAsia="Calibri"/>
                <w:i/>
                <w:spacing w:val="4"/>
                <w:w w:val="103"/>
                <w:kern w:val="14"/>
                <w:sz w:val="17"/>
                <w:szCs w:val="17"/>
              </w:rPr>
              <w:t>.0</w:t>
            </w:r>
          </w:p>
        </w:tc>
        <w:tc>
          <w:tcPr>
            <w:tcW w:w="1422" w:type="dxa"/>
            <w:shd w:val="clear" w:color="auto" w:fill="auto"/>
          </w:tcPr>
          <w:p w14:paraId="6636203D" w14:textId="77777777" w:rsidR="00EA605E" w:rsidRPr="00FA65C1" w:rsidRDefault="00EA605E" w:rsidP="00CC236A">
            <w:pPr>
              <w:tabs>
                <w:tab w:val="left" w:pos="288"/>
                <w:tab w:val="left" w:pos="576"/>
                <w:tab w:val="left" w:pos="864"/>
                <w:tab w:val="left" w:pos="1152"/>
              </w:tabs>
              <w:suppressAutoHyphens/>
              <w:spacing w:before="40" w:after="40" w:line="210" w:lineRule="exact"/>
              <w:ind w:left="74" w:right="43"/>
              <w:rPr>
                <w:rFonts w:eastAsia="Calibri"/>
                <w:spacing w:val="4"/>
                <w:w w:val="103"/>
                <w:kern w:val="14"/>
                <w:sz w:val="17"/>
                <w:szCs w:val="17"/>
              </w:rPr>
            </w:pPr>
            <w:r w:rsidRPr="00FA65C1">
              <w:rPr>
                <w:rFonts w:eastAsia="Calibri"/>
                <w:spacing w:val="4"/>
                <w:w w:val="103"/>
                <w:kern w:val="14"/>
                <w:sz w:val="17"/>
                <w:szCs w:val="17"/>
              </w:rPr>
              <w:t>Positive trend</w:t>
            </w:r>
          </w:p>
        </w:tc>
      </w:tr>
      <w:tr w:rsidR="00EA605E" w:rsidRPr="00FA65C1" w14:paraId="0F85B8B7" w14:textId="77777777" w:rsidTr="00CC236A">
        <w:trPr>
          <w:jc w:val="center"/>
        </w:trPr>
        <w:tc>
          <w:tcPr>
            <w:tcW w:w="1710" w:type="dxa"/>
            <w:shd w:val="clear" w:color="auto" w:fill="auto"/>
          </w:tcPr>
          <w:p w14:paraId="4C0855BB" w14:textId="462237F3" w:rsidR="00EA605E" w:rsidRPr="00FA65C1" w:rsidRDefault="00EA605E" w:rsidP="00C85B8F">
            <w:pPr>
              <w:tabs>
                <w:tab w:val="left" w:pos="288"/>
                <w:tab w:val="left" w:pos="576"/>
                <w:tab w:val="left" w:pos="864"/>
                <w:tab w:val="left" w:pos="1152"/>
              </w:tabs>
              <w:suppressAutoHyphens/>
              <w:spacing w:before="40" w:after="40" w:line="210" w:lineRule="exact"/>
              <w:ind w:right="40"/>
              <w:rPr>
                <w:rFonts w:eastAsia="Calibri"/>
                <w:b/>
                <w:spacing w:val="4"/>
                <w:w w:val="103"/>
                <w:kern w:val="14"/>
                <w:sz w:val="17"/>
                <w:szCs w:val="17"/>
              </w:rPr>
            </w:pPr>
            <w:r w:rsidRPr="00FA65C1">
              <w:rPr>
                <w:rFonts w:eastAsia="Calibri"/>
                <w:b/>
                <w:spacing w:val="4"/>
                <w:w w:val="103"/>
                <w:kern w:val="14"/>
                <w:sz w:val="17"/>
                <w:szCs w:val="17"/>
              </w:rPr>
              <w:t xml:space="preserve">6. Evaluation reports posted on </w:t>
            </w:r>
            <w:r w:rsidR="00C85B8F">
              <w:rPr>
                <w:rFonts w:eastAsia="Calibri"/>
                <w:b/>
                <w:spacing w:val="4"/>
                <w:w w:val="103"/>
                <w:kern w:val="14"/>
                <w:sz w:val="17"/>
                <w:szCs w:val="17"/>
              </w:rPr>
              <w:t>e</w:t>
            </w:r>
            <w:r w:rsidRPr="00FA65C1">
              <w:rPr>
                <w:rFonts w:eastAsia="Calibri"/>
                <w:b/>
                <w:spacing w:val="4"/>
                <w:w w:val="103"/>
                <w:kern w:val="14"/>
                <w:sz w:val="17"/>
                <w:szCs w:val="17"/>
              </w:rPr>
              <w:t xml:space="preserve">valuation </w:t>
            </w:r>
            <w:r w:rsidR="00C85B8F">
              <w:rPr>
                <w:rFonts w:eastAsia="Calibri"/>
                <w:b/>
                <w:spacing w:val="4"/>
                <w:w w:val="103"/>
                <w:kern w:val="14"/>
                <w:sz w:val="17"/>
                <w:szCs w:val="17"/>
              </w:rPr>
              <w:t>d</w:t>
            </w:r>
            <w:r w:rsidRPr="00FA65C1">
              <w:rPr>
                <w:rFonts w:eastAsia="Calibri"/>
                <w:b/>
                <w:spacing w:val="4"/>
                <w:w w:val="103"/>
                <w:kern w:val="14"/>
                <w:sz w:val="17"/>
                <w:szCs w:val="17"/>
              </w:rPr>
              <w:t>atabase</w:t>
            </w:r>
          </w:p>
        </w:tc>
        <w:tc>
          <w:tcPr>
            <w:tcW w:w="2160" w:type="dxa"/>
            <w:shd w:val="clear" w:color="auto" w:fill="auto"/>
          </w:tcPr>
          <w:p w14:paraId="76CDCF3B" w14:textId="797D6B1F" w:rsidR="00EA605E" w:rsidRPr="00FA65C1" w:rsidRDefault="00EA605E" w:rsidP="00F06BBC">
            <w:pPr>
              <w:tabs>
                <w:tab w:val="left" w:pos="288"/>
                <w:tab w:val="left" w:pos="576"/>
                <w:tab w:val="left" w:pos="864"/>
                <w:tab w:val="left" w:pos="1152"/>
              </w:tabs>
              <w:suppressAutoHyphens/>
              <w:spacing w:before="40" w:after="40" w:line="210" w:lineRule="exact"/>
              <w:ind w:left="58" w:right="43"/>
              <w:rPr>
                <w:rFonts w:eastAsia="Calibri"/>
                <w:i/>
                <w:spacing w:val="4"/>
                <w:w w:val="103"/>
                <w:kern w:val="14"/>
                <w:sz w:val="17"/>
                <w:szCs w:val="17"/>
              </w:rPr>
            </w:pPr>
            <w:r w:rsidRPr="00FA65C1">
              <w:rPr>
                <w:rFonts w:eastAsia="Calibri"/>
                <w:i/>
                <w:spacing w:val="4"/>
                <w:w w:val="103"/>
                <w:kern w:val="14"/>
                <w:sz w:val="17"/>
                <w:szCs w:val="17"/>
              </w:rPr>
              <w:t xml:space="preserve">Percentage of completed evaluation reports posted on </w:t>
            </w:r>
            <w:r w:rsidR="00F06BBC">
              <w:rPr>
                <w:rFonts w:eastAsia="Calibri"/>
                <w:i/>
                <w:spacing w:val="4"/>
                <w:w w:val="103"/>
                <w:kern w:val="14"/>
                <w:sz w:val="17"/>
                <w:szCs w:val="17"/>
              </w:rPr>
              <w:t>e</w:t>
            </w:r>
            <w:r w:rsidRPr="00FA65C1">
              <w:rPr>
                <w:rFonts w:eastAsia="Calibri"/>
                <w:i/>
                <w:spacing w:val="4"/>
                <w:w w:val="103"/>
                <w:kern w:val="14"/>
                <w:sz w:val="17"/>
                <w:szCs w:val="17"/>
              </w:rPr>
              <w:t xml:space="preserve">valuation </w:t>
            </w:r>
            <w:r w:rsidR="00F06BBC">
              <w:rPr>
                <w:rFonts w:eastAsia="Calibri"/>
                <w:i/>
                <w:spacing w:val="4"/>
                <w:w w:val="103"/>
                <w:kern w:val="14"/>
                <w:sz w:val="17"/>
                <w:szCs w:val="17"/>
              </w:rPr>
              <w:t>d</w:t>
            </w:r>
            <w:r w:rsidRPr="00FA65C1">
              <w:rPr>
                <w:rFonts w:eastAsia="Calibri"/>
                <w:i/>
                <w:spacing w:val="4"/>
                <w:w w:val="103"/>
                <w:kern w:val="14"/>
                <w:sz w:val="17"/>
                <w:szCs w:val="17"/>
              </w:rPr>
              <w:t>atabase</w:t>
            </w:r>
          </w:p>
        </w:tc>
        <w:tc>
          <w:tcPr>
            <w:tcW w:w="738" w:type="dxa"/>
            <w:shd w:val="clear" w:color="auto" w:fill="auto"/>
          </w:tcPr>
          <w:p w14:paraId="509404A4" w14:textId="7230FFAA" w:rsidR="00EA605E" w:rsidRPr="00F06BBC" w:rsidRDefault="00EA605E" w:rsidP="00F06BBC">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100</w:t>
            </w:r>
          </w:p>
        </w:tc>
        <w:tc>
          <w:tcPr>
            <w:tcW w:w="738" w:type="dxa"/>
            <w:gridSpan w:val="2"/>
            <w:shd w:val="clear" w:color="auto" w:fill="auto"/>
          </w:tcPr>
          <w:p w14:paraId="5982EB4E" w14:textId="563CB4FF" w:rsidR="00EA605E" w:rsidRPr="00F06BBC" w:rsidRDefault="00EA605E" w:rsidP="00F06BBC">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100</w:t>
            </w:r>
          </w:p>
        </w:tc>
        <w:tc>
          <w:tcPr>
            <w:tcW w:w="720" w:type="dxa"/>
            <w:shd w:val="clear" w:color="auto" w:fill="auto"/>
          </w:tcPr>
          <w:p w14:paraId="0E8A067A" w14:textId="19930EB4" w:rsidR="00EA605E" w:rsidRPr="00F06BBC" w:rsidRDefault="00EA605E" w:rsidP="00F06BBC">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100</w:t>
            </w:r>
          </w:p>
        </w:tc>
        <w:tc>
          <w:tcPr>
            <w:tcW w:w="738" w:type="dxa"/>
            <w:gridSpan w:val="2"/>
          </w:tcPr>
          <w:p w14:paraId="60272274" w14:textId="1E8E8392" w:rsidR="00EA605E" w:rsidRPr="00F06BBC" w:rsidRDefault="00EA605E" w:rsidP="00F06BBC">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100</w:t>
            </w:r>
          </w:p>
        </w:tc>
        <w:tc>
          <w:tcPr>
            <w:tcW w:w="954" w:type="dxa"/>
          </w:tcPr>
          <w:p w14:paraId="58619574" w14:textId="7A73A6B4" w:rsidR="00EA605E" w:rsidRPr="00F06BBC" w:rsidRDefault="00EA605E" w:rsidP="00F06BBC">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100</w:t>
            </w:r>
          </w:p>
        </w:tc>
        <w:tc>
          <w:tcPr>
            <w:tcW w:w="1422" w:type="dxa"/>
            <w:shd w:val="clear" w:color="auto" w:fill="auto"/>
          </w:tcPr>
          <w:p w14:paraId="32AF70C3" w14:textId="77777777" w:rsidR="00EA605E" w:rsidRPr="00FA65C1" w:rsidRDefault="00EA605E" w:rsidP="00CC236A">
            <w:pPr>
              <w:tabs>
                <w:tab w:val="left" w:pos="288"/>
                <w:tab w:val="left" w:pos="576"/>
                <w:tab w:val="left" w:pos="864"/>
                <w:tab w:val="left" w:pos="1152"/>
              </w:tabs>
              <w:suppressAutoHyphens/>
              <w:spacing w:before="40" w:after="40" w:line="210" w:lineRule="exact"/>
              <w:ind w:left="74" w:right="43"/>
              <w:rPr>
                <w:rFonts w:eastAsia="Calibri"/>
                <w:spacing w:val="4"/>
                <w:w w:val="103"/>
                <w:kern w:val="14"/>
                <w:sz w:val="17"/>
                <w:szCs w:val="17"/>
              </w:rPr>
            </w:pPr>
            <w:r w:rsidRPr="00FA65C1">
              <w:rPr>
                <w:rFonts w:eastAsia="Calibri"/>
                <w:spacing w:val="4"/>
                <w:w w:val="103"/>
                <w:kern w:val="14"/>
                <w:sz w:val="17"/>
                <w:szCs w:val="17"/>
              </w:rPr>
              <w:t>Achieved</w:t>
            </w:r>
          </w:p>
        </w:tc>
      </w:tr>
      <w:tr w:rsidR="00EA605E" w:rsidRPr="00FA65C1" w14:paraId="2ACE7869" w14:textId="77777777" w:rsidTr="00CC236A">
        <w:trPr>
          <w:jc w:val="center"/>
        </w:trPr>
        <w:tc>
          <w:tcPr>
            <w:tcW w:w="1710" w:type="dxa"/>
            <w:shd w:val="clear" w:color="auto" w:fill="auto"/>
          </w:tcPr>
          <w:p w14:paraId="180C1016" w14:textId="77777777" w:rsidR="00EA605E" w:rsidRPr="00FA65C1" w:rsidRDefault="00EA605E" w:rsidP="00CC236A">
            <w:pPr>
              <w:tabs>
                <w:tab w:val="left" w:pos="288"/>
                <w:tab w:val="left" w:pos="576"/>
                <w:tab w:val="left" w:pos="864"/>
                <w:tab w:val="left" w:pos="1152"/>
              </w:tabs>
              <w:suppressAutoHyphens/>
              <w:spacing w:before="40" w:after="40" w:line="210" w:lineRule="exact"/>
              <w:ind w:right="40"/>
              <w:rPr>
                <w:rFonts w:eastAsia="Calibri"/>
                <w:b/>
                <w:spacing w:val="4"/>
                <w:w w:val="103"/>
                <w:kern w:val="14"/>
                <w:sz w:val="17"/>
                <w:szCs w:val="17"/>
              </w:rPr>
            </w:pPr>
            <w:r w:rsidRPr="00FA65C1">
              <w:rPr>
                <w:rFonts w:eastAsia="Calibri"/>
                <w:b/>
                <w:spacing w:val="4"/>
                <w:w w:val="103"/>
                <w:kern w:val="14"/>
                <w:sz w:val="17"/>
                <w:szCs w:val="17"/>
              </w:rPr>
              <w:t>7. Management response submission</w:t>
            </w:r>
          </w:p>
        </w:tc>
        <w:tc>
          <w:tcPr>
            <w:tcW w:w="2160" w:type="dxa"/>
            <w:shd w:val="clear" w:color="auto" w:fill="auto"/>
          </w:tcPr>
          <w:p w14:paraId="21D1DA09" w14:textId="77777777" w:rsidR="00EA605E" w:rsidRPr="00FA65C1" w:rsidRDefault="00EA605E" w:rsidP="00CC236A">
            <w:pPr>
              <w:tabs>
                <w:tab w:val="left" w:pos="288"/>
                <w:tab w:val="left" w:pos="576"/>
                <w:tab w:val="left" w:pos="864"/>
                <w:tab w:val="left" w:pos="1152"/>
              </w:tabs>
              <w:suppressAutoHyphens/>
              <w:spacing w:before="40" w:after="40" w:line="210" w:lineRule="exact"/>
              <w:ind w:left="58" w:right="43"/>
              <w:rPr>
                <w:rFonts w:eastAsia="Calibri"/>
                <w:i/>
                <w:spacing w:val="4"/>
                <w:w w:val="103"/>
                <w:kern w:val="14"/>
                <w:sz w:val="17"/>
                <w:szCs w:val="17"/>
              </w:rPr>
            </w:pPr>
            <w:r w:rsidRPr="00FA65C1">
              <w:rPr>
                <w:rFonts w:eastAsia="Calibri"/>
                <w:i/>
                <w:spacing w:val="4"/>
                <w:w w:val="103"/>
                <w:kern w:val="14"/>
                <w:sz w:val="17"/>
                <w:szCs w:val="17"/>
              </w:rPr>
              <w:t xml:space="preserve">Percentage of completed evaluation reports submitted with management response </w:t>
            </w:r>
          </w:p>
        </w:tc>
        <w:tc>
          <w:tcPr>
            <w:tcW w:w="738" w:type="dxa"/>
            <w:shd w:val="clear" w:color="auto" w:fill="auto"/>
          </w:tcPr>
          <w:p w14:paraId="0AA64E09" w14:textId="262AD1CE" w:rsidR="00EA605E" w:rsidRPr="00F06BBC" w:rsidRDefault="00EA605E" w:rsidP="00F06BBC">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100</w:t>
            </w:r>
          </w:p>
        </w:tc>
        <w:tc>
          <w:tcPr>
            <w:tcW w:w="738" w:type="dxa"/>
            <w:gridSpan w:val="2"/>
            <w:shd w:val="clear" w:color="auto" w:fill="auto"/>
          </w:tcPr>
          <w:p w14:paraId="290C5CAE" w14:textId="200BC3DB" w:rsidR="00EA605E" w:rsidRPr="00F06BBC" w:rsidRDefault="00EA605E" w:rsidP="00F06BBC">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100</w:t>
            </w:r>
          </w:p>
        </w:tc>
        <w:tc>
          <w:tcPr>
            <w:tcW w:w="720" w:type="dxa"/>
            <w:shd w:val="clear" w:color="auto" w:fill="auto"/>
          </w:tcPr>
          <w:p w14:paraId="5A4C3588" w14:textId="3E696615" w:rsidR="00EA605E" w:rsidRPr="00F06BBC" w:rsidRDefault="00EA605E" w:rsidP="00F06BBC">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100</w:t>
            </w:r>
          </w:p>
        </w:tc>
        <w:tc>
          <w:tcPr>
            <w:tcW w:w="738" w:type="dxa"/>
            <w:gridSpan w:val="2"/>
          </w:tcPr>
          <w:p w14:paraId="38AE96B2" w14:textId="11F77D5D" w:rsidR="00EA605E" w:rsidRPr="00F06BBC" w:rsidRDefault="00EA605E" w:rsidP="00F06BBC">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100</w:t>
            </w:r>
          </w:p>
        </w:tc>
        <w:tc>
          <w:tcPr>
            <w:tcW w:w="954" w:type="dxa"/>
          </w:tcPr>
          <w:p w14:paraId="1CD800E9" w14:textId="23C64128" w:rsidR="00EA605E" w:rsidRPr="00F06BBC" w:rsidRDefault="00EA605E" w:rsidP="00F06BBC">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100</w:t>
            </w:r>
          </w:p>
        </w:tc>
        <w:tc>
          <w:tcPr>
            <w:tcW w:w="1422" w:type="dxa"/>
            <w:shd w:val="clear" w:color="auto" w:fill="auto"/>
          </w:tcPr>
          <w:p w14:paraId="25A7A0BF" w14:textId="77777777" w:rsidR="00EA605E" w:rsidRPr="00F06BBC" w:rsidRDefault="00EA605E" w:rsidP="00CC236A">
            <w:pPr>
              <w:tabs>
                <w:tab w:val="left" w:pos="288"/>
                <w:tab w:val="left" w:pos="576"/>
                <w:tab w:val="left" w:pos="864"/>
                <w:tab w:val="left" w:pos="1152"/>
              </w:tabs>
              <w:suppressAutoHyphens/>
              <w:spacing w:before="40" w:after="40" w:line="210" w:lineRule="exact"/>
              <w:ind w:left="74" w:right="43"/>
              <w:rPr>
                <w:rFonts w:eastAsia="Calibri"/>
                <w:spacing w:val="4"/>
                <w:w w:val="103"/>
                <w:kern w:val="14"/>
                <w:sz w:val="17"/>
                <w:szCs w:val="17"/>
              </w:rPr>
            </w:pPr>
            <w:r w:rsidRPr="00FA65C1">
              <w:rPr>
                <w:rFonts w:eastAsia="Calibri"/>
                <w:spacing w:val="4"/>
                <w:w w:val="103"/>
                <w:kern w:val="14"/>
                <w:sz w:val="17"/>
                <w:szCs w:val="17"/>
              </w:rPr>
              <w:t>Achieved</w:t>
            </w:r>
          </w:p>
        </w:tc>
      </w:tr>
      <w:tr w:rsidR="00EA605E" w:rsidRPr="00FA65C1" w14:paraId="578B7501" w14:textId="77777777" w:rsidTr="00CC236A">
        <w:trPr>
          <w:jc w:val="center"/>
        </w:trPr>
        <w:tc>
          <w:tcPr>
            <w:tcW w:w="1710" w:type="dxa"/>
            <w:shd w:val="clear" w:color="auto" w:fill="auto"/>
          </w:tcPr>
          <w:p w14:paraId="4DEE1063" w14:textId="1B5438BD" w:rsidR="00EA605E" w:rsidRPr="00FA65C1" w:rsidRDefault="00EA605E" w:rsidP="00CC236A">
            <w:pPr>
              <w:tabs>
                <w:tab w:val="left" w:pos="288"/>
                <w:tab w:val="left" w:pos="576"/>
                <w:tab w:val="left" w:pos="864"/>
                <w:tab w:val="left" w:pos="1152"/>
              </w:tabs>
              <w:suppressAutoHyphens/>
              <w:spacing w:before="40" w:after="40" w:line="210" w:lineRule="exact"/>
              <w:ind w:right="40"/>
              <w:rPr>
                <w:rFonts w:eastAsia="Calibri"/>
                <w:b/>
                <w:spacing w:val="4"/>
                <w:w w:val="103"/>
                <w:kern w:val="14"/>
                <w:sz w:val="17"/>
                <w:szCs w:val="17"/>
              </w:rPr>
            </w:pPr>
            <w:r w:rsidRPr="00FA65C1">
              <w:rPr>
                <w:rFonts w:eastAsia="Calibri"/>
                <w:b/>
                <w:spacing w:val="4"/>
                <w:w w:val="103"/>
                <w:kern w:val="14"/>
                <w:sz w:val="17"/>
                <w:szCs w:val="17"/>
              </w:rPr>
              <w:t>8. Implem</w:t>
            </w:r>
            <w:r w:rsidR="00C85B8F">
              <w:rPr>
                <w:rFonts w:eastAsia="Calibri"/>
                <w:b/>
                <w:spacing w:val="4"/>
                <w:w w:val="103"/>
                <w:kern w:val="14"/>
                <w:sz w:val="17"/>
                <w:szCs w:val="17"/>
              </w:rPr>
              <w:t>entation of management response</w:t>
            </w:r>
          </w:p>
        </w:tc>
        <w:tc>
          <w:tcPr>
            <w:tcW w:w="2160" w:type="dxa"/>
            <w:shd w:val="clear" w:color="auto" w:fill="auto"/>
          </w:tcPr>
          <w:p w14:paraId="40F7814D" w14:textId="77777777" w:rsidR="00EA605E" w:rsidRPr="00FA65C1" w:rsidRDefault="00EA605E" w:rsidP="00CC236A">
            <w:pPr>
              <w:tabs>
                <w:tab w:val="left" w:pos="288"/>
                <w:tab w:val="left" w:pos="576"/>
                <w:tab w:val="left" w:pos="864"/>
                <w:tab w:val="left" w:pos="1152"/>
              </w:tabs>
              <w:suppressAutoHyphens/>
              <w:spacing w:before="40" w:after="40" w:line="210" w:lineRule="exact"/>
              <w:ind w:left="58" w:right="43"/>
              <w:rPr>
                <w:rFonts w:eastAsia="Calibri"/>
                <w:i/>
                <w:spacing w:val="4"/>
                <w:w w:val="103"/>
                <w:kern w:val="14"/>
                <w:sz w:val="17"/>
                <w:szCs w:val="17"/>
              </w:rPr>
            </w:pPr>
            <w:r w:rsidRPr="00FA65C1">
              <w:rPr>
                <w:rFonts w:eastAsia="Calibri"/>
                <w:i/>
                <w:spacing w:val="4"/>
                <w:w w:val="103"/>
                <w:kern w:val="14"/>
                <w:sz w:val="17"/>
                <w:szCs w:val="17"/>
              </w:rPr>
              <w:t xml:space="preserve">Percentage of management response actions completed </w:t>
            </w:r>
          </w:p>
        </w:tc>
        <w:tc>
          <w:tcPr>
            <w:tcW w:w="738" w:type="dxa"/>
            <w:shd w:val="clear" w:color="auto" w:fill="auto"/>
          </w:tcPr>
          <w:p w14:paraId="722850EB"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center"/>
              <w:rPr>
                <w:rFonts w:eastAsia="Calibri"/>
                <w:i/>
                <w:spacing w:val="4"/>
                <w:w w:val="103"/>
                <w:kern w:val="14"/>
                <w:sz w:val="17"/>
                <w:szCs w:val="17"/>
              </w:rPr>
            </w:pPr>
            <w:r w:rsidRPr="00F06BBC">
              <w:rPr>
                <w:rFonts w:eastAsia="Calibri"/>
                <w:i/>
                <w:spacing w:val="4"/>
                <w:w w:val="103"/>
                <w:kern w:val="14"/>
                <w:sz w:val="17"/>
                <w:szCs w:val="17"/>
              </w:rPr>
              <w:t>61.0</w:t>
            </w:r>
          </w:p>
        </w:tc>
        <w:tc>
          <w:tcPr>
            <w:tcW w:w="738" w:type="dxa"/>
            <w:gridSpan w:val="2"/>
            <w:shd w:val="clear" w:color="auto" w:fill="auto"/>
          </w:tcPr>
          <w:p w14:paraId="0FB5416F"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76.5</w:t>
            </w:r>
          </w:p>
        </w:tc>
        <w:tc>
          <w:tcPr>
            <w:tcW w:w="720" w:type="dxa"/>
            <w:shd w:val="clear" w:color="auto" w:fill="auto"/>
          </w:tcPr>
          <w:p w14:paraId="379BEEC1"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78.0</w:t>
            </w:r>
          </w:p>
        </w:tc>
        <w:tc>
          <w:tcPr>
            <w:tcW w:w="738" w:type="dxa"/>
            <w:gridSpan w:val="2"/>
          </w:tcPr>
          <w:p w14:paraId="74233B20"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78.5</w:t>
            </w:r>
          </w:p>
        </w:tc>
        <w:tc>
          <w:tcPr>
            <w:tcW w:w="954" w:type="dxa"/>
          </w:tcPr>
          <w:p w14:paraId="06A032BD" w14:textId="77777777" w:rsidR="00EA605E" w:rsidRPr="00F06BBC" w:rsidRDefault="00EA605E" w:rsidP="00CC236A">
            <w:pPr>
              <w:tabs>
                <w:tab w:val="left" w:pos="288"/>
                <w:tab w:val="left" w:pos="576"/>
                <w:tab w:val="left" w:pos="864"/>
                <w:tab w:val="left" w:pos="1152"/>
              </w:tabs>
              <w:suppressAutoHyphens/>
              <w:spacing w:before="40" w:after="40" w:line="210" w:lineRule="exact"/>
              <w:ind w:right="43"/>
              <w:jc w:val="right"/>
              <w:rPr>
                <w:rFonts w:eastAsia="Calibri"/>
                <w:i/>
                <w:spacing w:val="4"/>
                <w:w w:val="103"/>
                <w:kern w:val="14"/>
                <w:sz w:val="17"/>
                <w:szCs w:val="17"/>
              </w:rPr>
            </w:pPr>
            <w:r w:rsidRPr="00F06BBC">
              <w:rPr>
                <w:rFonts w:eastAsia="Calibri"/>
                <w:i/>
                <w:spacing w:val="4"/>
                <w:w w:val="103"/>
                <w:kern w:val="14"/>
                <w:sz w:val="17"/>
                <w:szCs w:val="17"/>
              </w:rPr>
              <w:t>84.4</w:t>
            </w:r>
          </w:p>
        </w:tc>
        <w:tc>
          <w:tcPr>
            <w:tcW w:w="1422" w:type="dxa"/>
            <w:shd w:val="clear" w:color="auto" w:fill="auto"/>
          </w:tcPr>
          <w:p w14:paraId="4AC736BB" w14:textId="77777777" w:rsidR="00EA605E" w:rsidRPr="00FA65C1" w:rsidRDefault="00EA605E" w:rsidP="00CC236A">
            <w:pPr>
              <w:tabs>
                <w:tab w:val="left" w:pos="288"/>
                <w:tab w:val="left" w:pos="576"/>
                <w:tab w:val="left" w:pos="864"/>
                <w:tab w:val="left" w:pos="1152"/>
              </w:tabs>
              <w:suppressAutoHyphens/>
              <w:spacing w:before="40" w:after="40" w:line="210" w:lineRule="exact"/>
              <w:ind w:left="74" w:right="43"/>
              <w:rPr>
                <w:rFonts w:eastAsia="Calibri"/>
                <w:spacing w:val="4"/>
                <w:w w:val="103"/>
                <w:kern w:val="14"/>
                <w:sz w:val="17"/>
                <w:szCs w:val="17"/>
              </w:rPr>
            </w:pPr>
            <w:r w:rsidRPr="00FA65C1">
              <w:rPr>
                <w:rFonts w:eastAsia="Calibri"/>
                <w:spacing w:val="4"/>
                <w:w w:val="103"/>
                <w:kern w:val="14"/>
                <w:sz w:val="17"/>
                <w:szCs w:val="17"/>
              </w:rPr>
              <w:t>Positive trend</w:t>
            </w:r>
          </w:p>
        </w:tc>
      </w:tr>
    </w:tbl>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8083"/>
      </w:tblGrid>
      <w:tr w:rsidR="009E3F6C" w:rsidRPr="00DC6E92" w14:paraId="302C21E0" w14:textId="77777777" w:rsidTr="00812517">
        <w:tc>
          <w:tcPr>
            <w:tcW w:w="9066" w:type="dxa"/>
            <w:gridSpan w:val="2"/>
          </w:tcPr>
          <w:p w14:paraId="6505F245" w14:textId="244B9F74" w:rsidR="009E3F6C" w:rsidRPr="00DC6E92" w:rsidRDefault="00EA605E" w:rsidP="00812517">
            <w:pPr>
              <w:pStyle w:val="NUM1para"/>
              <w:numPr>
                <w:ilvl w:val="0"/>
                <w:numId w:val="0"/>
              </w:numPr>
              <w:spacing w:before="240"/>
              <w:rPr>
                <w:rFonts w:ascii="Times New Roman" w:hAnsi="Times New Roman"/>
                <w:sz w:val="16"/>
                <w:szCs w:val="18"/>
              </w:rPr>
            </w:pPr>
            <w:r w:rsidRPr="00DC6E92">
              <w:rPr>
                <w:rFonts w:ascii="Times New Roman" w:hAnsi="Times New Roman"/>
                <w:i/>
                <w:sz w:val="16"/>
                <w:szCs w:val="18"/>
              </w:rPr>
              <w:t>Source</w:t>
            </w:r>
            <w:r w:rsidRPr="00DC6E92">
              <w:rPr>
                <w:rFonts w:ascii="Times New Roman" w:hAnsi="Times New Roman"/>
                <w:sz w:val="16"/>
                <w:szCs w:val="18"/>
              </w:rPr>
              <w:t xml:space="preserve">: Evaluation </w:t>
            </w:r>
            <w:r w:rsidR="00812517" w:rsidRPr="00DC6E92">
              <w:rPr>
                <w:rFonts w:ascii="Times New Roman" w:hAnsi="Times New Roman"/>
                <w:sz w:val="16"/>
                <w:szCs w:val="18"/>
              </w:rPr>
              <w:t>d</w:t>
            </w:r>
            <w:r w:rsidRPr="00DC6E92">
              <w:rPr>
                <w:rFonts w:ascii="Times New Roman" w:hAnsi="Times New Roman"/>
                <w:sz w:val="16"/>
                <w:szCs w:val="18"/>
              </w:rPr>
              <w:t>atabase</w:t>
            </w:r>
            <w:r w:rsidR="002114C5" w:rsidRPr="00DC6E92">
              <w:rPr>
                <w:rFonts w:ascii="Times New Roman" w:hAnsi="Times New Roman"/>
                <w:sz w:val="16"/>
                <w:szCs w:val="18"/>
              </w:rPr>
              <w:t>. Abbreviations: COs: country offices; M&amp;E: monitoring and evaluation</w:t>
            </w:r>
          </w:p>
        </w:tc>
      </w:tr>
      <w:tr w:rsidR="009E3F6C" w:rsidRPr="00DC6E92" w14:paraId="62FF6CDC" w14:textId="77777777" w:rsidTr="00812517">
        <w:tc>
          <w:tcPr>
            <w:tcW w:w="9066" w:type="dxa"/>
            <w:gridSpan w:val="2"/>
          </w:tcPr>
          <w:p w14:paraId="281C5BED" w14:textId="69BB8ECD" w:rsidR="009E3F6C" w:rsidRPr="00DC6E92" w:rsidRDefault="00EA605E" w:rsidP="009E3F6C">
            <w:pPr>
              <w:pStyle w:val="NUM1para"/>
              <w:numPr>
                <w:ilvl w:val="0"/>
                <w:numId w:val="0"/>
              </w:numPr>
              <w:rPr>
                <w:rFonts w:ascii="Times New Roman" w:hAnsi="Times New Roman"/>
                <w:sz w:val="16"/>
                <w:szCs w:val="18"/>
              </w:rPr>
            </w:pPr>
            <w:r w:rsidRPr="00DC6E92">
              <w:rPr>
                <w:rFonts w:ascii="Times New Roman" w:hAnsi="Times New Roman"/>
                <w:i/>
                <w:sz w:val="16"/>
                <w:szCs w:val="18"/>
              </w:rPr>
              <w:t>*</w:t>
            </w:r>
            <w:r w:rsidRPr="00DC6E92">
              <w:rPr>
                <w:rFonts w:ascii="Times New Roman" w:hAnsi="Times New Roman"/>
                <w:sz w:val="16"/>
                <w:szCs w:val="18"/>
              </w:rPr>
              <w:t xml:space="preserve">See paragraph </w:t>
            </w:r>
            <w:r w:rsidR="00D73B5E" w:rsidRPr="00DC6E92">
              <w:rPr>
                <w:rFonts w:ascii="Times New Roman" w:hAnsi="Times New Roman"/>
                <w:sz w:val="16"/>
                <w:szCs w:val="18"/>
              </w:rPr>
              <w:t>24</w:t>
            </w:r>
            <w:r w:rsidRPr="00DC6E92">
              <w:rPr>
                <w:rFonts w:ascii="Times New Roman" w:hAnsi="Times New Roman"/>
                <w:sz w:val="16"/>
                <w:szCs w:val="18"/>
              </w:rPr>
              <w:t xml:space="preserve"> for important methodological explanation</w:t>
            </w:r>
            <w:r w:rsidR="00812517" w:rsidRPr="00DC6E92">
              <w:rPr>
                <w:rFonts w:ascii="Times New Roman" w:hAnsi="Times New Roman"/>
                <w:sz w:val="16"/>
                <w:szCs w:val="18"/>
              </w:rPr>
              <w:t>.</w:t>
            </w:r>
          </w:p>
        </w:tc>
      </w:tr>
      <w:tr w:rsidR="009E3F6C" w:rsidRPr="00DC6E92" w14:paraId="2C97DB6C" w14:textId="77777777" w:rsidTr="00812517">
        <w:tc>
          <w:tcPr>
            <w:tcW w:w="9066" w:type="dxa"/>
            <w:gridSpan w:val="2"/>
          </w:tcPr>
          <w:p w14:paraId="7C0024FC" w14:textId="15E3A3A1" w:rsidR="009E3F6C" w:rsidRPr="00DC6E92" w:rsidRDefault="00EA605E" w:rsidP="0072427C">
            <w:pPr>
              <w:pStyle w:val="NUM1para"/>
              <w:numPr>
                <w:ilvl w:val="0"/>
                <w:numId w:val="0"/>
              </w:numPr>
              <w:rPr>
                <w:rFonts w:ascii="Times New Roman" w:hAnsi="Times New Roman"/>
                <w:sz w:val="16"/>
                <w:szCs w:val="18"/>
              </w:rPr>
            </w:pPr>
            <w:r w:rsidRPr="00DC6E92">
              <w:rPr>
                <w:rFonts w:ascii="Times New Roman" w:hAnsi="Times New Roman"/>
                <w:sz w:val="16"/>
                <w:szCs w:val="18"/>
              </w:rPr>
              <w:t xml:space="preserve">** Captures an eight-year period (2011-2018) of completed, ongoing and planned evaluations. Going forward, the key performance indicator table will report on subsequent 8-year periods (i.e. 2012-2019 in the 2018 annual report). </w:t>
            </w:r>
            <w:r w:rsidR="0072427C" w:rsidRPr="00DC6E92">
              <w:rPr>
                <w:rFonts w:ascii="Times New Roman" w:hAnsi="Times New Roman"/>
                <w:sz w:val="16"/>
                <w:szCs w:val="18"/>
              </w:rPr>
              <w:t>T</w:t>
            </w:r>
            <w:r w:rsidRPr="00DC6E92">
              <w:rPr>
                <w:rFonts w:ascii="Times New Roman" w:hAnsi="Times New Roman"/>
                <w:sz w:val="16"/>
                <w:szCs w:val="18"/>
              </w:rPr>
              <w:t>he first year for which this data is reported</w:t>
            </w:r>
            <w:r w:rsidR="0072427C" w:rsidRPr="00DC6E92">
              <w:rPr>
                <w:rFonts w:ascii="Times New Roman" w:hAnsi="Times New Roman"/>
                <w:sz w:val="16"/>
                <w:szCs w:val="18"/>
              </w:rPr>
              <w:t xml:space="preserve"> is 2017</w:t>
            </w:r>
            <w:r w:rsidRPr="00DC6E92">
              <w:rPr>
                <w:rFonts w:ascii="Times New Roman" w:hAnsi="Times New Roman"/>
                <w:sz w:val="16"/>
                <w:szCs w:val="18"/>
              </w:rPr>
              <w:t>.</w:t>
            </w:r>
          </w:p>
        </w:tc>
      </w:tr>
      <w:tr w:rsidR="009E3F6C" w:rsidRPr="00DC6E92" w14:paraId="470FF744" w14:textId="77777777" w:rsidTr="00812517">
        <w:tc>
          <w:tcPr>
            <w:tcW w:w="9066" w:type="dxa"/>
            <w:gridSpan w:val="2"/>
          </w:tcPr>
          <w:p w14:paraId="58C98C15" w14:textId="5AE4ED9E" w:rsidR="009E3F6C" w:rsidRPr="00DC6E92" w:rsidRDefault="00812517" w:rsidP="009E3F6C">
            <w:pPr>
              <w:pStyle w:val="NUM1para"/>
              <w:numPr>
                <w:ilvl w:val="0"/>
                <w:numId w:val="0"/>
              </w:numPr>
              <w:rPr>
                <w:rFonts w:ascii="Times New Roman" w:hAnsi="Times New Roman"/>
                <w:sz w:val="16"/>
                <w:szCs w:val="18"/>
              </w:rPr>
            </w:pPr>
            <w:r w:rsidRPr="00DC6E92">
              <w:rPr>
                <w:rFonts w:ascii="Times New Roman" w:hAnsi="Times New Roman"/>
                <w:sz w:val="16"/>
                <w:szCs w:val="18"/>
              </w:rPr>
              <w:t>*** Prior to 2016,</w:t>
            </w:r>
            <w:r w:rsidR="0072427C" w:rsidRPr="00DC6E92">
              <w:rPr>
                <w:rFonts w:ascii="Times New Roman" w:hAnsi="Times New Roman"/>
                <w:sz w:val="16"/>
                <w:szCs w:val="18"/>
              </w:rPr>
              <w:t xml:space="preserve"> the</w:t>
            </w:r>
            <w:r w:rsidR="00EA38F6" w:rsidRPr="00DC6E92">
              <w:rPr>
                <w:rFonts w:ascii="Times New Roman" w:eastAsia="Times New Roman" w:hAnsi="Times New Roman"/>
                <w:sz w:val="16"/>
              </w:rPr>
              <w:t xml:space="preserve"> </w:t>
            </w:r>
            <w:r w:rsidR="00EA38F6" w:rsidRPr="00DC6E92">
              <w:rPr>
                <w:rFonts w:ascii="Times New Roman" w:hAnsi="Times New Roman"/>
                <w:sz w:val="16"/>
                <w:szCs w:val="18"/>
              </w:rPr>
              <w:t>Evaluation Office</w:t>
            </w:r>
            <w:r w:rsidRPr="00DC6E92">
              <w:rPr>
                <w:rFonts w:ascii="Times New Roman" w:hAnsi="Times New Roman"/>
                <w:sz w:val="16"/>
                <w:szCs w:val="18"/>
              </w:rPr>
              <w:t xml:space="preserve"> was not collecting data on implementation at the level of granularity reflected in the present report.</w:t>
            </w:r>
          </w:p>
        </w:tc>
      </w:tr>
      <w:tr w:rsidR="00812517" w:rsidRPr="00DC6E92" w14:paraId="7DB7BC45" w14:textId="77777777" w:rsidTr="00812517">
        <w:trPr>
          <w:gridBefore w:val="1"/>
          <w:wBefore w:w="983" w:type="dxa"/>
        </w:trPr>
        <w:tc>
          <w:tcPr>
            <w:tcW w:w="8083" w:type="dxa"/>
          </w:tcPr>
          <w:p w14:paraId="51C495E8" w14:textId="77777777" w:rsidR="00812517" w:rsidRPr="00DC6E92" w:rsidRDefault="00812517" w:rsidP="009E3F6C">
            <w:pPr>
              <w:pStyle w:val="NUM1para"/>
              <w:numPr>
                <w:ilvl w:val="0"/>
                <w:numId w:val="0"/>
              </w:numPr>
              <w:rPr>
                <w:sz w:val="16"/>
              </w:rPr>
            </w:pPr>
          </w:p>
        </w:tc>
      </w:tr>
    </w:tbl>
    <w:p w14:paraId="0E8F2BF4" w14:textId="2EF17FF2" w:rsidR="0072427C" w:rsidRPr="00FA65C1" w:rsidRDefault="0072427C" w:rsidP="0072427C">
      <w:pPr>
        <w:pStyle w:val="NUM1para"/>
      </w:pPr>
      <w:r w:rsidRPr="00FA65C1">
        <w:t xml:space="preserve">Since the revision of the </w:t>
      </w:r>
      <w:r w:rsidR="00C85B8F">
        <w:t>e</w:t>
      </w:r>
      <w:r w:rsidRPr="00FA65C1">
        <w:t xml:space="preserve">valuation </w:t>
      </w:r>
      <w:r w:rsidR="00C85B8F">
        <w:t>p</w:t>
      </w:r>
      <w:r w:rsidRPr="00FA65C1">
        <w:t xml:space="preserve">olicy in 2013, important progress </w:t>
      </w:r>
      <w:r w:rsidR="00C85B8F" w:rsidRPr="00C85B8F">
        <w:t xml:space="preserve">has been made </w:t>
      </w:r>
      <w:r w:rsidRPr="00FA65C1">
        <w:t xml:space="preserve">on </w:t>
      </w:r>
      <w:r w:rsidR="00C85B8F">
        <w:t xml:space="preserve">the </w:t>
      </w:r>
      <w:r w:rsidRPr="00FA65C1">
        <w:t xml:space="preserve">majority of key performance indicators. </w:t>
      </w:r>
      <w:r w:rsidR="009D6763">
        <w:t>C</w:t>
      </w:r>
      <w:r w:rsidRPr="00FA65C1">
        <w:t xml:space="preserve">onsiderable progress has been made in the </w:t>
      </w:r>
      <w:r w:rsidRPr="00C85B8F">
        <w:rPr>
          <w:i/>
        </w:rPr>
        <w:t>quality of evaluation reports</w:t>
      </w:r>
      <w:r w:rsidR="00C85B8F">
        <w:t xml:space="preserve"> –</w:t>
      </w:r>
      <w:r w:rsidRPr="00FA65C1">
        <w:t xml:space="preserve"> with 9</w:t>
      </w:r>
      <w:r w:rsidR="00652A5D">
        <w:t>5</w:t>
      </w:r>
      <w:r w:rsidRPr="00FA65C1">
        <w:t xml:space="preserve"> per cent (2</w:t>
      </w:r>
      <w:r w:rsidR="00652A5D">
        <w:t>1</w:t>
      </w:r>
      <w:r w:rsidRPr="00FA65C1">
        <w:t xml:space="preserve"> evaluations out of 22) assessed as “</w:t>
      </w:r>
      <w:r w:rsidR="00C85B8F">
        <w:t>g</w:t>
      </w:r>
      <w:r w:rsidRPr="00FA65C1">
        <w:t>ood” or “</w:t>
      </w:r>
      <w:r w:rsidR="00C85B8F">
        <w:t>v</w:t>
      </w:r>
      <w:r w:rsidRPr="00FA65C1">
        <w:t xml:space="preserve">ery </w:t>
      </w:r>
      <w:r w:rsidR="00C85B8F">
        <w:t>g</w:t>
      </w:r>
      <w:r w:rsidRPr="00FA65C1">
        <w:t>ood” in 2017</w:t>
      </w:r>
      <w:r w:rsidR="00C85B8F">
        <w:t>,</w:t>
      </w:r>
      <w:r w:rsidRPr="00FA65C1">
        <w:t xml:space="preserve"> as compared to 50 per cent (six evaluations out of 12) in 2014</w:t>
      </w:r>
      <w:r w:rsidR="00C85B8F">
        <w:t xml:space="preserve"> –</w:t>
      </w:r>
      <w:r w:rsidRPr="00FA65C1">
        <w:t xml:space="preserve"> and in the </w:t>
      </w:r>
      <w:r w:rsidRPr="00C85B8F">
        <w:rPr>
          <w:i/>
        </w:rPr>
        <w:t>financial resources for evaluation</w:t>
      </w:r>
      <w:r w:rsidRPr="00FA65C1">
        <w:t xml:space="preserve"> </w:t>
      </w:r>
      <w:r w:rsidR="00C85B8F">
        <w:t xml:space="preserve">– </w:t>
      </w:r>
      <w:r w:rsidRPr="00FA65C1">
        <w:t>which</w:t>
      </w:r>
      <w:r w:rsidR="00F168B6">
        <w:t xml:space="preserve"> almost</w:t>
      </w:r>
      <w:r w:rsidRPr="00FA65C1">
        <w:t xml:space="preserve"> doubled</w:t>
      </w:r>
      <w:r w:rsidR="00C85B8F">
        <w:t>,</w:t>
      </w:r>
      <w:r w:rsidRPr="00FA65C1">
        <w:t xml:space="preserve"> from </w:t>
      </w:r>
      <w:r w:rsidR="00917243">
        <w:t>0</w:t>
      </w:r>
      <w:r w:rsidRPr="00FA65C1">
        <w:t xml:space="preserve">.45 per cent in 2014 to </w:t>
      </w:r>
      <w:r w:rsidR="00917243">
        <w:t>0</w:t>
      </w:r>
      <w:r w:rsidR="00F168B6">
        <w:t>.83</w:t>
      </w:r>
      <w:r w:rsidR="005463D3">
        <w:t xml:space="preserve"> </w:t>
      </w:r>
      <w:r w:rsidRPr="00FA65C1">
        <w:t>per cent in 2017. The submission of management responses reached 100 per cent, while the annual implementation of evaluation recommendation</w:t>
      </w:r>
      <w:r w:rsidR="00F168B6">
        <w:t>s</w:t>
      </w:r>
      <w:r w:rsidR="005463D3">
        <w:t xml:space="preserve"> </w:t>
      </w:r>
      <w:r w:rsidR="00C85B8F">
        <w:t xml:space="preserve">has </w:t>
      </w:r>
      <w:r w:rsidRPr="00FA65C1">
        <w:t>reached 84 per</w:t>
      </w:r>
      <w:r w:rsidR="00917243">
        <w:t xml:space="preserve"> </w:t>
      </w:r>
      <w:r w:rsidRPr="00FA65C1">
        <w:t>cent (</w:t>
      </w:r>
      <w:r w:rsidR="00C85B8F">
        <w:t xml:space="preserve">up </w:t>
      </w:r>
      <w:r w:rsidRPr="00FA65C1">
        <w:t>from 61 per cent in 2013).</w:t>
      </w:r>
    </w:p>
    <w:p w14:paraId="2595D8B4" w14:textId="20944764" w:rsidR="0072427C" w:rsidRPr="00FA65C1" w:rsidRDefault="0072427C" w:rsidP="0072427C">
      <w:pPr>
        <w:pStyle w:val="NUM1para"/>
      </w:pPr>
      <w:r w:rsidRPr="00FA65C1">
        <w:t xml:space="preserve">The slight decline in human resources for monitoring and evaluation – </w:t>
      </w:r>
      <w:r w:rsidR="00A954CA">
        <w:t xml:space="preserve">down </w:t>
      </w:r>
      <w:r w:rsidRPr="00FA65C1">
        <w:t>from 99.2</w:t>
      </w:r>
      <w:r w:rsidR="00A954CA">
        <w:t> </w:t>
      </w:r>
      <w:r w:rsidRPr="00FA65C1">
        <w:t>per</w:t>
      </w:r>
      <w:r w:rsidR="00A954CA">
        <w:t xml:space="preserve"> </w:t>
      </w:r>
      <w:r w:rsidRPr="00FA65C1">
        <w:t>cent in 2016 to 96.7 percent in 2017 – is due to staff movements in three country offices, with the posts expected to be filled in 2018. Although progress has been made in most indicators, there is need for further improvement in financial resource investment</w:t>
      </w:r>
      <w:r w:rsidR="00A954CA">
        <w:t>s</w:t>
      </w:r>
      <w:r w:rsidRPr="00FA65C1">
        <w:t xml:space="preserve"> in the evaluation function and </w:t>
      </w:r>
      <w:r w:rsidR="00A954CA">
        <w:t xml:space="preserve">in </w:t>
      </w:r>
      <w:r w:rsidRPr="00FA65C1">
        <w:t>the coverage and implementation of decentralized programme</w:t>
      </w:r>
      <w:r w:rsidR="00A954CA">
        <w:t>-</w:t>
      </w:r>
      <w:r w:rsidRPr="00FA65C1">
        <w:t xml:space="preserve">level evaluations. </w:t>
      </w:r>
    </w:p>
    <w:p w14:paraId="00A7398D" w14:textId="46EF4954" w:rsidR="0072427C" w:rsidRPr="00FA65C1" w:rsidRDefault="0072427C" w:rsidP="00D646AB">
      <w:pPr>
        <w:pStyle w:val="Headingitalics"/>
      </w:pPr>
      <w:r w:rsidRPr="00FA65C1">
        <w:lastRenderedPageBreak/>
        <w:t>Key performance indicator 1: financial resources</w:t>
      </w:r>
    </w:p>
    <w:p w14:paraId="2A5786A1" w14:textId="6B624EE9" w:rsidR="0072427C" w:rsidRPr="00FA65C1" w:rsidRDefault="0072427C" w:rsidP="0072427C">
      <w:pPr>
        <w:pStyle w:val="NUM1para"/>
      </w:pPr>
      <w:r w:rsidRPr="00FA65C1">
        <w:t>While the methodology used to calculate investment in the evaluation function was consistent through 2016, an updated approach to ensure full alignment with the evaluation policy –</w:t>
      </w:r>
      <w:r w:rsidR="009D6763" w:rsidRPr="00FA65C1">
        <w:t>stat</w:t>
      </w:r>
      <w:r w:rsidR="009D6763">
        <w:t>ing,</w:t>
      </w:r>
      <w:r w:rsidRPr="00FA65C1">
        <w:t xml:space="preserve"> “up to </w:t>
      </w:r>
      <w:r w:rsidR="00917243">
        <w:t>3</w:t>
      </w:r>
      <w:r w:rsidR="00917243" w:rsidRPr="00FA65C1">
        <w:t xml:space="preserve"> </w:t>
      </w:r>
      <w:r w:rsidRPr="00FA65C1">
        <w:t>per cent of the total programme budget will be allocated for the evaluation function” – was adopted in 2017. The new approach uses “UNFPA programme budget expenditures” instead of “UNFPA total expenditure” to estimate the proportion of financial resources invested in evaluation.</w:t>
      </w:r>
    </w:p>
    <w:p w14:paraId="7AD48F00" w14:textId="357A3FE0" w:rsidR="0072427C" w:rsidRPr="00FA65C1" w:rsidRDefault="0072427C" w:rsidP="0072427C">
      <w:pPr>
        <w:pStyle w:val="NUM1para"/>
      </w:pPr>
      <w:r w:rsidRPr="00FA65C1">
        <w:t xml:space="preserve">Overall, the amount budgeted </w:t>
      </w:r>
      <w:r w:rsidR="00A954CA" w:rsidRPr="00A954CA">
        <w:t xml:space="preserve">in 2017 </w:t>
      </w:r>
      <w:r w:rsidRPr="00FA65C1">
        <w:t xml:space="preserve">for the evaluation function was $6.30 million, with $3.36 million budgeted at the corporate level (the Evaluation Office) and $2.94 million budgeted at the decentralized level (see table 2). This represents </w:t>
      </w:r>
      <w:r w:rsidR="00137976" w:rsidRPr="00EF71AA">
        <w:t>0</w:t>
      </w:r>
      <w:r w:rsidR="00F168B6" w:rsidRPr="00EF71AA">
        <w:t>.83</w:t>
      </w:r>
      <w:r w:rsidRPr="00EF71AA">
        <w:t xml:space="preserve"> </w:t>
      </w:r>
      <w:r w:rsidRPr="00FA65C1">
        <w:t xml:space="preserve">per cent of the total UNFPA programme expenditure for 2017. </w:t>
      </w:r>
      <w:r w:rsidR="00A954CA">
        <w:t>The b</w:t>
      </w:r>
      <w:r w:rsidRPr="00FA65C1">
        <w:t>udget invested in evaluation constantly increased at corporate and decentralized level</w:t>
      </w:r>
      <w:r w:rsidR="00A954CA">
        <w:t>s</w:t>
      </w:r>
      <w:r w:rsidRPr="00FA65C1">
        <w:t xml:space="preserve"> year</w:t>
      </w:r>
      <w:r w:rsidR="00A954CA">
        <w:t>-</w:t>
      </w:r>
      <w:r w:rsidRPr="00FA65C1">
        <w:t>on</w:t>
      </w:r>
      <w:r w:rsidR="00A954CA">
        <w:t>-</w:t>
      </w:r>
      <w:r w:rsidRPr="00FA65C1">
        <w:t xml:space="preserve">year from 2014 to 2018 – with the exception of 2017. From 2014 to 2018, </w:t>
      </w:r>
      <w:r w:rsidR="00A954CA">
        <w:t xml:space="preserve">the </w:t>
      </w:r>
      <w:r w:rsidRPr="00FA65C1">
        <w:t>budget spent in evaluation doubled</w:t>
      </w:r>
      <w:r w:rsidR="00A954CA">
        <w:t>,</w:t>
      </w:r>
      <w:r w:rsidRPr="00FA65C1">
        <w:t xml:space="preserve"> from $3.69</w:t>
      </w:r>
      <w:r w:rsidR="00A954CA">
        <w:t> </w:t>
      </w:r>
      <w:r w:rsidRPr="00FA65C1">
        <w:t>million to $7.61 million.</w:t>
      </w:r>
    </w:p>
    <w:p w14:paraId="4F503B7C" w14:textId="2A6D5F82" w:rsidR="0072427C" w:rsidRPr="00FA65C1" w:rsidRDefault="0072427C" w:rsidP="0072427C">
      <w:pPr>
        <w:pStyle w:val="FIGURE"/>
      </w:pPr>
      <w:r w:rsidRPr="00FA65C1">
        <w:rPr>
          <w:b w:val="0"/>
        </w:rPr>
        <w:t>Table 2</w:t>
      </w:r>
      <w:r w:rsidRPr="00FA65C1">
        <w:br/>
        <w:t xml:space="preserve">Budget invested in the </w:t>
      </w:r>
      <w:r w:rsidR="00CC236A" w:rsidRPr="00FA65C1">
        <w:t>e</w:t>
      </w:r>
      <w:r w:rsidRPr="00FA65C1">
        <w:t xml:space="preserve">valuation </w:t>
      </w:r>
      <w:r w:rsidR="00CC236A" w:rsidRPr="00FA65C1">
        <w:t>f</w:t>
      </w:r>
      <w:r w:rsidRPr="00FA65C1">
        <w:t>unction, 2014</w:t>
      </w:r>
      <w:r w:rsidR="00CC236A" w:rsidRPr="00FA65C1">
        <w:t>-</w:t>
      </w:r>
      <w:r w:rsidRPr="00FA65C1">
        <w:t>2018 (</w:t>
      </w:r>
      <w:r w:rsidR="00CC236A" w:rsidRPr="00FA65C1">
        <w:t>m</w:t>
      </w:r>
      <w:r w:rsidRPr="00FA65C1">
        <w:t>illions</w:t>
      </w:r>
      <w:r w:rsidR="008A18F8">
        <w:t xml:space="preserve"> of $</w:t>
      </w:r>
      <w:r w:rsidRPr="008A18F8">
        <w:t>)</w:t>
      </w:r>
    </w:p>
    <w:tbl>
      <w:tblPr>
        <w:tblStyle w:val="PlainTable21"/>
        <w:tblW w:w="9153" w:type="dxa"/>
        <w:jc w:val="center"/>
        <w:tblLayout w:type="fixed"/>
        <w:tblLook w:val="04A0" w:firstRow="1" w:lastRow="0" w:firstColumn="1" w:lastColumn="0" w:noHBand="0" w:noVBand="1"/>
      </w:tblPr>
      <w:tblGrid>
        <w:gridCol w:w="3085"/>
        <w:gridCol w:w="1260"/>
        <w:gridCol w:w="1260"/>
        <w:gridCol w:w="1260"/>
        <w:gridCol w:w="1144"/>
        <w:gridCol w:w="1144"/>
      </w:tblGrid>
      <w:tr w:rsidR="00CC236A" w:rsidRPr="008A18F8" w14:paraId="294822D6" w14:textId="77777777" w:rsidTr="00CC23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5" w:type="dxa"/>
            <w:shd w:val="clear" w:color="auto" w:fill="D9D9D9" w:themeFill="background1" w:themeFillShade="D9"/>
          </w:tcPr>
          <w:p w14:paraId="5617FDAC" w14:textId="77777777" w:rsidR="00CC236A" w:rsidRPr="008A18F8" w:rsidRDefault="00CC236A" w:rsidP="00CC236A">
            <w:pPr>
              <w:suppressAutoHyphens/>
              <w:spacing w:before="81" w:after="81" w:line="160" w:lineRule="exact"/>
              <w:ind w:right="40"/>
              <w:jc w:val="both"/>
              <w:rPr>
                <w:rFonts w:ascii="Times New Roman" w:eastAsia="Times New Roman" w:hAnsi="Times New Roman" w:cs="Times New Roman"/>
                <w:i/>
                <w:color w:val="000000" w:themeColor="text1"/>
                <w:spacing w:val="4"/>
                <w:w w:val="103"/>
                <w:kern w:val="14"/>
                <w:sz w:val="17"/>
                <w:szCs w:val="17"/>
              </w:rPr>
            </w:pPr>
          </w:p>
        </w:tc>
        <w:tc>
          <w:tcPr>
            <w:tcW w:w="1260" w:type="dxa"/>
            <w:shd w:val="clear" w:color="auto" w:fill="D9D9D9" w:themeFill="background1" w:themeFillShade="D9"/>
          </w:tcPr>
          <w:p w14:paraId="716BA3EC" w14:textId="77777777" w:rsidR="00CC236A" w:rsidRPr="008A18F8" w:rsidRDefault="00CC236A" w:rsidP="00CC236A">
            <w:pPr>
              <w:suppressAutoHyphens/>
              <w:spacing w:before="81" w:after="81" w:line="160" w:lineRule="exact"/>
              <w:ind w:right="43"/>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pacing w:val="4"/>
                <w:w w:val="103"/>
                <w:kern w:val="14"/>
                <w:sz w:val="17"/>
                <w:szCs w:val="17"/>
              </w:rPr>
            </w:pPr>
            <w:r w:rsidRPr="008A18F8">
              <w:rPr>
                <w:rFonts w:ascii="Times New Roman" w:eastAsia="Calibri" w:hAnsi="Times New Roman" w:cs="Times New Roman"/>
                <w:b w:val="0"/>
                <w:color w:val="000000" w:themeColor="text1"/>
                <w:spacing w:val="4"/>
                <w:w w:val="103"/>
                <w:kern w:val="14"/>
                <w:sz w:val="17"/>
                <w:szCs w:val="17"/>
              </w:rPr>
              <w:t>2014</w:t>
            </w:r>
          </w:p>
        </w:tc>
        <w:tc>
          <w:tcPr>
            <w:tcW w:w="1260" w:type="dxa"/>
            <w:shd w:val="clear" w:color="auto" w:fill="D9D9D9" w:themeFill="background1" w:themeFillShade="D9"/>
          </w:tcPr>
          <w:p w14:paraId="497C78EA" w14:textId="77777777" w:rsidR="00CC236A" w:rsidRPr="008A18F8" w:rsidRDefault="00CC236A" w:rsidP="00CC236A">
            <w:pPr>
              <w:suppressAutoHyphens/>
              <w:spacing w:before="81" w:after="81" w:line="160" w:lineRule="exact"/>
              <w:ind w:right="43"/>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pacing w:val="4"/>
                <w:w w:val="103"/>
                <w:kern w:val="14"/>
                <w:sz w:val="17"/>
                <w:szCs w:val="17"/>
              </w:rPr>
            </w:pPr>
            <w:r w:rsidRPr="008A18F8">
              <w:rPr>
                <w:rFonts w:ascii="Times New Roman" w:eastAsia="Calibri" w:hAnsi="Times New Roman" w:cs="Times New Roman"/>
                <w:b w:val="0"/>
                <w:color w:val="000000" w:themeColor="text1"/>
                <w:spacing w:val="4"/>
                <w:w w:val="103"/>
                <w:kern w:val="14"/>
                <w:sz w:val="17"/>
                <w:szCs w:val="17"/>
              </w:rPr>
              <w:t xml:space="preserve"> </w:t>
            </w:r>
            <w:r w:rsidRPr="008A18F8">
              <w:rPr>
                <w:rFonts w:ascii="Times New Roman" w:eastAsia="Times New Roman" w:hAnsi="Times New Roman" w:cs="Times New Roman"/>
                <w:b w:val="0"/>
                <w:color w:val="000000" w:themeColor="text1"/>
                <w:spacing w:val="4"/>
                <w:w w:val="103"/>
                <w:kern w:val="14"/>
                <w:sz w:val="17"/>
                <w:szCs w:val="17"/>
              </w:rPr>
              <w:t>2015</w:t>
            </w:r>
          </w:p>
        </w:tc>
        <w:tc>
          <w:tcPr>
            <w:tcW w:w="1260" w:type="dxa"/>
            <w:shd w:val="clear" w:color="auto" w:fill="D9D9D9" w:themeFill="background1" w:themeFillShade="D9"/>
          </w:tcPr>
          <w:p w14:paraId="47377D4D" w14:textId="77777777" w:rsidR="00CC236A" w:rsidRPr="008A18F8" w:rsidRDefault="00CC236A" w:rsidP="00CC236A">
            <w:pPr>
              <w:suppressAutoHyphens/>
              <w:spacing w:before="81" w:after="81" w:line="160" w:lineRule="exact"/>
              <w:ind w:right="43"/>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pacing w:val="4"/>
                <w:w w:val="103"/>
                <w:kern w:val="14"/>
                <w:sz w:val="17"/>
                <w:szCs w:val="17"/>
              </w:rPr>
            </w:pPr>
            <w:r w:rsidRPr="008A18F8">
              <w:rPr>
                <w:rFonts w:ascii="Times New Roman" w:eastAsia="Calibri" w:hAnsi="Times New Roman" w:cs="Times New Roman"/>
                <w:b w:val="0"/>
                <w:color w:val="000000" w:themeColor="text1"/>
                <w:spacing w:val="4"/>
                <w:w w:val="103"/>
                <w:kern w:val="14"/>
                <w:sz w:val="17"/>
                <w:szCs w:val="17"/>
              </w:rPr>
              <w:t>2016</w:t>
            </w:r>
          </w:p>
        </w:tc>
        <w:tc>
          <w:tcPr>
            <w:tcW w:w="1144" w:type="dxa"/>
            <w:shd w:val="clear" w:color="auto" w:fill="D9D9D9" w:themeFill="background1" w:themeFillShade="D9"/>
          </w:tcPr>
          <w:p w14:paraId="36CEDA13" w14:textId="77777777" w:rsidR="00CC236A" w:rsidRPr="008A18F8" w:rsidRDefault="00CC236A" w:rsidP="00CC236A">
            <w:pPr>
              <w:suppressAutoHyphens/>
              <w:spacing w:before="81" w:after="81" w:line="160" w:lineRule="exact"/>
              <w:ind w:right="43"/>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pacing w:val="4"/>
                <w:w w:val="103"/>
                <w:kern w:val="14"/>
                <w:sz w:val="17"/>
                <w:szCs w:val="17"/>
              </w:rPr>
            </w:pPr>
            <w:r w:rsidRPr="008A18F8">
              <w:rPr>
                <w:rFonts w:ascii="Times New Roman" w:eastAsia="Calibri" w:hAnsi="Times New Roman" w:cs="Times New Roman"/>
                <w:b w:val="0"/>
                <w:color w:val="000000" w:themeColor="text1"/>
                <w:spacing w:val="4"/>
                <w:w w:val="103"/>
                <w:kern w:val="14"/>
                <w:sz w:val="17"/>
                <w:szCs w:val="17"/>
              </w:rPr>
              <w:t>2017</w:t>
            </w:r>
          </w:p>
        </w:tc>
        <w:tc>
          <w:tcPr>
            <w:tcW w:w="1144" w:type="dxa"/>
            <w:shd w:val="clear" w:color="auto" w:fill="D9D9D9" w:themeFill="background1" w:themeFillShade="D9"/>
          </w:tcPr>
          <w:p w14:paraId="3890E258" w14:textId="77777777" w:rsidR="00CC236A" w:rsidRPr="008A18F8" w:rsidRDefault="00CC236A" w:rsidP="00CC236A">
            <w:pPr>
              <w:suppressAutoHyphens/>
              <w:spacing w:before="81" w:after="81" w:line="160" w:lineRule="exact"/>
              <w:ind w:right="43"/>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themeColor="text1"/>
                <w:spacing w:val="4"/>
                <w:w w:val="103"/>
                <w:kern w:val="14"/>
                <w:sz w:val="17"/>
                <w:szCs w:val="17"/>
              </w:rPr>
            </w:pPr>
            <w:r w:rsidRPr="008A18F8">
              <w:rPr>
                <w:rFonts w:ascii="Times New Roman" w:eastAsia="Calibri" w:hAnsi="Times New Roman" w:cs="Times New Roman"/>
                <w:b w:val="0"/>
                <w:color w:val="000000" w:themeColor="text1"/>
                <w:spacing w:val="4"/>
                <w:w w:val="103"/>
                <w:kern w:val="14"/>
                <w:sz w:val="17"/>
                <w:szCs w:val="17"/>
              </w:rPr>
              <w:t>2018*</w:t>
            </w:r>
          </w:p>
        </w:tc>
      </w:tr>
      <w:tr w:rsidR="00CC236A" w:rsidRPr="008A18F8" w14:paraId="3E9C3663" w14:textId="77777777" w:rsidTr="00CC236A">
        <w:trPr>
          <w:cnfStyle w:val="000000100000" w:firstRow="0" w:lastRow="0" w:firstColumn="0" w:lastColumn="0" w:oddVBand="0" w:evenVBand="0" w:oddHBand="1" w:evenHBand="0" w:firstRowFirstColumn="0" w:firstRowLastColumn="0" w:lastRowFirstColumn="0" w:lastRowLastColumn="0"/>
          <w:trHeight w:hRule="exact" w:val="115"/>
          <w:jc w:val="center"/>
        </w:trPr>
        <w:tc>
          <w:tcPr>
            <w:cnfStyle w:val="001000000000" w:firstRow="0" w:lastRow="0" w:firstColumn="1" w:lastColumn="0" w:oddVBand="0" w:evenVBand="0" w:oddHBand="0" w:evenHBand="0" w:firstRowFirstColumn="0" w:firstRowLastColumn="0" w:lastRowFirstColumn="0" w:lastRowLastColumn="0"/>
            <w:tcW w:w="3085" w:type="dxa"/>
            <w:tcBorders>
              <w:bottom w:val="single" w:sz="12" w:space="0" w:color="7F7F7F" w:themeColor="text1" w:themeTint="80"/>
            </w:tcBorders>
          </w:tcPr>
          <w:p w14:paraId="4F6D2F8D" w14:textId="77777777" w:rsidR="00CC236A" w:rsidRPr="008A18F8" w:rsidRDefault="00CC236A" w:rsidP="00CC236A">
            <w:pPr>
              <w:suppressAutoHyphens/>
              <w:spacing w:before="40" w:after="40" w:line="210" w:lineRule="exact"/>
              <w:ind w:right="40"/>
              <w:jc w:val="both"/>
              <w:rPr>
                <w:rFonts w:ascii="Times New Roman" w:eastAsia="Times New Roman" w:hAnsi="Times New Roman" w:cs="Times New Roman"/>
                <w:color w:val="FF0000"/>
                <w:spacing w:val="4"/>
                <w:w w:val="103"/>
                <w:kern w:val="14"/>
                <w:sz w:val="17"/>
                <w:szCs w:val="17"/>
                <w:u w:val="thick" w:color="000000" w:themeColor="text1"/>
              </w:rPr>
            </w:pPr>
          </w:p>
        </w:tc>
        <w:tc>
          <w:tcPr>
            <w:tcW w:w="1260" w:type="dxa"/>
            <w:tcBorders>
              <w:bottom w:val="single" w:sz="12" w:space="0" w:color="7F7F7F" w:themeColor="text1" w:themeTint="80"/>
            </w:tcBorders>
          </w:tcPr>
          <w:p w14:paraId="2AC61CD3" w14:textId="77777777" w:rsidR="00CC236A" w:rsidRPr="008A18F8" w:rsidRDefault="00CC236A" w:rsidP="00CC236A">
            <w:pPr>
              <w:suppressAutoHyphens/>
              <w:spacing w:before="40" w:after="40" w:line="210" w:lineRule="exact"/>
              <w:ind w:right="43"/>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pacing w:val="4"/>
                <w:w w:val="103"/>
                <w:kern w:val="14"/>
                <w:sz w:val="17"/>
                <w:szCs w:val="17"/>
                <w:u w:val="thick" w:color="000000" w:themeColor="text1"/>
              </w:rPr>
            </w:pPr>
          </w:p>
        </w:tc>
        <w:tc>
          <w:tcPr>
            <w:tcW w:w="1260" w:type="dxa"/>
            <w:tcBorders>
              <w:bottom w:val="single" w:sz="12" w:space="0" w:color="7F7F7F" w:themeColor="text1" w:themeTint="80"/>
            </w:tcBorders>
          </w:tcPr>
          <w:p w14:paraId="0D4C9403" w14:textId="77777777" w:rsidR="00CC236A" w:rsidRPr="008A18F8" w:rsidRDefault="00CC236A" w:rsidP="00CC236A">
            <w:pPr>
              <w:suppressAutoHyphens/>
              <w:spacing w:before="40" w:after="40" w:line="210" w:lineRule="exact"/>
              <w:ind w:right="43"/>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pacing w:val="4"/>
                <w:w w:val="103"/>
                <w:kern w:val="14"/>
                <w:sz w:val="17"/>
                <w:szCs w:val="17"/>
                <w:u w:val="thick" w:color="000000" w:themeColor="text1"/>
              </w:rPr>
            </w:pPr>
          </w:p>
        </w:tc>
        <w:tc>
          <w:tcPr>
            <w:tcW w:w="1260" w:type="dxa"/>
            <w:tcBorders>
              <w:bottom w:val="single" w:sz="12" w:space="0" w:color="7F7F7F" w:themeColor="text1" w:themeTint="80"/>
            </w:tcBorders>
          </w:tcPr>
          <w:p w14:paraId="4DD6E3E5" w14:textId="77777777" w:rsidR="00CC236A" w:rsidRPr="008A18F8" w:rsidRDefault="00CC236A" w:rsidP="00CC236A">
            <w:pPr>
              <w:suppressAutoHyphens/>
              <w:spacing w:before="40" w:after="40" w:line="210" w:lineRule="exact"/>
              <w:ind w:right="43"/>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pacing w:val="4"/>
                <w:w w:val="103"/>
                <w:kern w:val="14"/>
                <w:sz w:val="17"/>
                <w:szCs w:val="17"/>
                <w:u w:val="thick" w:color="000000" w:themeColor="text1"/>
              </w:rPr>
            </w:pPr>
          </w:p>
        </w:tc>
        <w:tc>
          <w:tcPr>
            <w:tcW w:w="1144" w:type="dxa"/>
            <w:tcBorders>
              <w:bottom w:val="single" w:sz="12" w:space="0" w:color="7F7F7F" w:themeColor="text1" w:themeTint="80"/>
            </w:tcBorders>
          </w:tcPr>
          <w:p w14:paraId="47F1B9DC" w14:textId="77777777" w:rsidR="00CC236A" w:rsidRPr="008A18F8" w:rsidRDefault="00CC236A" w:rsidP="00CC236A">
            <w:pPr>
              <w:suppressAutoHyphens/>
              <w:spacing w:before="40" w:after="40" w:line="210" w:lineRule="exact"/>
              <w:ind w:right="43"/>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pacing w:val="4"/>
                <w:w w:val="103"/>
                <w:kern w:val="14"/>
                <w:sz w:val="17"/>
                <w:szCs w:val="17"/>
                <w:u w:val="thick" w:color="000000" w:themeColor="text1"/>
              </w:rPr>
            </w:pPr>
          </w:p>
        </w:tc>
        <w:tc>
          <w:tcPr>
            <w:tcW w:w="1144" w:type="dxa"/>
            <w:tcBorders>
              <w:bottom w:val="single" w:sz="12" w:space="0" w:color="7F7F7F" w:themeColor="text1" w:themeTint="80"/>
            </w:tcBorders>
          </w:tcPr>
          <w:p w14:paraId="1F73F574" w14:textId="77777777" w:rsidR="00CC236A" w:rsidRPr="008A18F8" w:rsidRDefault="00CC236A" w:rsidP="00CC236A">
            <w:pPr>
              <w:suppressAutoHyphens/>
              <w:spacing w:before="40" w:after="40" w:line="210" w:lineRule="exact"/>
              <w:ind w:right="43"/>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FF0000"/>
                <w:spacing w:val="4"/>
                <w:w w:val="103"/>
                <w:kern w:val="14"/>
                <w:sz w:val="17"/>
                <w:szCs w:val="17"/>
                <w:u w:val="thick" w:color="000000" w:themeColor="text1"/>
              </w:rPr>
            </w:pPr>
          </w:p>
        </w:tc>
      </w:tr>
      <w:tr w:rsidR="00CC236A" w:rsidRPr="008A18F8" w14:paraId="16B4F182" w14:textId="77777777" w:rsidTr="008A18F8">
        <w:trPr>
          <w:trHeight w:val="20"/>
          <w:jc w:val="center"/>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09DF463D" w14:textId="62630421" w:rsidR="00CC236A" w:rsidRPr="008A18F8" w:rsidRDefault="00CC236A" w:rsidP="00CC236A">
            <w:pPr>
              <w:suppressAutoHyphens/>
              <w:spacing w:before="40" w:after="40" w:line="210" w:lineRule="exact"/>
              <w:ind w:right="21"/>
              <w:rPr>
                <w:rFonts w:ascii="Times New Roman" w:hAnsi="Times New Roman" w:cs="Times New Roman"/>
                <w:sz w:val="17"/>
                <w:szCs w:val="17"/>
              </w:rPr>
            </w:pPr>
            <w:r w:rsidRPr="008A18F8">
              <w:rPr>
                <w:rFonts w:ascii="Times New Roman" w:hAnsi="Times New Roman" w:cs="Times New Roman"/>
                <w:sz w:val="17"/>
                <w:szCs w:val="17"/>
              </w:rPr>
              <w:t>Total UNFPA programme budget expenditure**</w:t>
            </w:r>
          </w:p>
        </w:tc>
        <w:tc>
          <w:tcPr>
            <w:tcW w:w="1260" w:type="dxa"/>
            <w:tcBorders>
              <w:top w:val="nil"/>
              <w:bottom w:val="nil"/>
            </w:tcBorders>
            <w:shd w:val="clear" w:color="auto" w:fill="auto"/>
          </w:tcPr>
          <w:p w14:paraId="55965692" w14:textId="77777777" w:rsidR="00CC236A" w:rsidRPr="008A18F8" w:rsidRDefault="00CC236A"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7"/>
                <w:szCs w:val="17"/>
              </w:rPr>
            </w:pPr>
            <w:r w:rsidRPr="008A18F8">
              <w:rPr>
                <w:rFonts w:ascii="Times New Roman" w:hAnsi="Times New Roman" w:cs="Times New Roman"/>
                <w:b/>
                <w:sz w:val="17"/>
                <w:szCs w:val="17"/>
              </w:rPr>
              <w:t>820.2</w:t>
            </w:r>
          </w:p>
        </w:tc>
        <w:tc>
          <w:tcPr>
            <w:tcW w:w="1260" w:type="dxa"/>
            <w:tcBorders>
              <w:top w:val="nil"/>
              <w:bottom w:val="nil"/>
            </w:tcBorders>
            <w:shd w:val="clear" w:color="auto" w:fill="auto"/>
          </w:tcPr>
          <w:p w14:paraId="0383F2AA" w14:textId="77777777" w:rsidR="00CC236A" w:rsidRPr="008A18F8" w:rsidRDefault="00CC236A"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7"/>
                <w:szCs w:val="17"/>
              </w:rPr>
            </w:pPr>
            <w:r w:rsidRPr="008A18F8">
              <w:rPr>
                <w:rFonts w:ascii="Times New Roman" w:hAnsi="Times New Roman" w:cs="Times New Roman"/>
                <w:b/>
                <w:sz w:val="17"/>
                <w:szCs w:val="17"/>
              </w:rPr>
              <w:t>798.6</w:t>
            </w:r>
          </w:p>
        </w:tc>
        <w:tc>
          <w:tcPr>
            <w:tcW w:w="1260" w:type="dxa"/>
            <w:tcBorders>
              <w:top w:val="nil"/>
              <w:bottom w:val="nil"/>
            </w:tcBorders>
            <w:shd w:val="clear" w:color="auto" w:fill="auto"/>
          </w:tcPr>
          <w:p w14:paraId="78010C24" w14:textId="77777777" w:rsidR="00CC236A" w:rsidRPr="008A18F8" w:rsidRDefault="00CC236A"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7"/>
                <w:szCs w:val="17"/>
              </w:rPr>
            </w:pPr>
            <w:r w:rsidRPr="008A18F8">
              <w:rPr>
                <w:rFonts w:ascii="Times New Roman" w:hAnsi="Times New Roman" w:cs="Times New Roman"/>
                <w:b/>
                <w:sz w:val="17"/>
                <w:szCs w:val="17"/>
              </w:rPr>
              <w:t>763.5</w:t>
            </w:r>
          </w:p>
        </w:tc>
        <w:tc>
          <w:tcPr>
            <w:tcW w:w="1144" w:type="dxa"/>
            <w:tcBorders>
              <w:top w:val="nil"/>
              <w:bottom w:val="nil"/>
            </w:tcBorders>
          </w:tcPr>
          <w:p w14:paraId="5B3BBD9C" w14:textId="2DF13856" w:rsidR="00CC236A" w:rsidRPr="00137976" w:rsidRDefault="00F168B6"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7"/>
                <w:szCs w:val="17"/>
              </w:rPr>
            </w:pPr>
            <w:r w:rsidRPr="00137976">
              <w:rPr>
                <w:rFonts w:ascii="Times New Roman" w:hAnsi="Times New Roman" w:cs="Times New Roman"/>
                <w:b/>
                <w:sz w:val="17"/>
                <w:szCs w:val="17"/>
              </w:rPr>
              <w:t>752.9</w:t>
            </w:r>
          </w:p>
        </w:tc>
        <w:tc>
          <w:tcPr>
            <w:tcW w:w="1144" w:type="dxa"/>
            <w:tcBorders>
              <w:top w:val="nil"/>
              <w:bottom w:val="nil"/>
            </w:tcBorders>
            <w:shd w:val="clear" w:color="auto" w:fill="auto"/>
          </w:tcPr>
          <w:p w14:paraId="1DE5DF51" w14:textId="77777777" w:rsidR="00CC236A" w:rsidRPr="008A18F8" w:rsidRDefault="00CC236A"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17"/>
                <w:szCs w:val="17"/>
              </w:rPr>
            </w:pPr>
            <w:r w:rsidRPr="008A18F8">
              <w:rPr>
                <w:rFonts w:ascii="Times New Roman" w:hAnsi="Times New Roman" w:cs="Times New Roman"/>
                <w:b/>
                <w:sz w:val="17"/>
                <w:szCs w:val="17"/>
              </w:rPr>
              <w:t>-</w:t>
            </w:r>
            <w:r w:rsidRPr="008A18F8">
              <w:rPr>
                <w:rFonts w:ascii="Times New Roman" w:hAnsi="Times New Roman" w:cs="Times New Roman"/>
                <w:b/>
                <w:color w:val="FF0000"/>
                <w:sz w:val="17"/>
                <w:szCs w:val="17"/>
              </w:rPr>
              <w:t xml:space="preserve"> </w:t>
            </w:r>
          </w:p>
        </w:tc>
      </w:tr>
      <w:tr w:rsidR="00CC236A" w:rsidRPr="008A18F8" w14:paraId="58202D13" w14:textId="77777777" w:rsidTr="008A18F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36A1BBDA" w14:textId="1114463E" w:rsidR="00CC236A" w:rsidRPr="008A18F8" w:rsidRDefault="00CC236A" w:rsidP="008A18F8">
            <w:pPr>
              <w:suppressAutoHyphens/>
              <w:spacing w:before="40" w:after="40" w:line="210" w:lineRule="exact"/>
              <w:ind w:right="21"/>
              <w:rPr>
                <w:rFonts w:ascii="Times New Roman" w:hAnsi="Times New Roman" w:cs="Times New Roman"/>
                <w:sz w:val="17"/>
                <w:szCs w:val="17"/>
              </w:rPr>
            </w:pPr>
            <w:r w:rsidRPr="008A18F8">
              <w:rPr>
                <w:rFonts w:ascii="Times New Roman" w:hAnsi="Times New Roman" w:cs="Times New Roman"/>
                <w:sz w:val="17"/>
                <w:szCs w:val="17"/>
              </w:rPr>
              <w:t xml:space="preserve">Total </w:t>
            </w:r>
            <w:r w:rsidR="008A18F8" w:rsidRPr="008A18F8">
              <w:rPr>
                <w:rFonts w:ascii="Times New Roman" w:hAnsi="Times New Roman" w:cs="Times New Roman"/>
                <w:sz w:val="17"/>
                <w:szCs w:val="17"/>
              </w:rPr>
              <w:t>b</w:t>
            </w:r>
            <w:r w:rsidRPr="008A18F8">
              <w:rPr>
                <w:rFonts w:ascii="Times New Roman" w:hAnsi="Times New Roman" w:cs="Times New Roman"/>
                <w:sz w:val="17"/>
                <w:szCs w:val="17"/>
              </w:rPr>
              <w:t>udget of the evaluation function</w:t>
            </w:r>
          </w:p>
        </w:tc>
        <w:tc>
          <w:tcPr>
            <w:tcW w:w="1260" w:type="dxa"/>
            <w:tcBorders>
              <w:top w:val="nil"/>
              <w:bottom w:val="nil"/>
            </w:tcBorders>
            <w:shd w:val="clear" w:color="auto" w:fill="auto"/>
          </w:tcPr>
          <w:p w14:paraId="75B079CD" w14:textId="77777777" w:rsidR="00CC236A" w:rsidRPr="008A18F8" w:rsidRDefault="00CC236A" w:rsidP="00CC236A">
            <w:pPr>
              <w:suppressAutoHyphens/>
              <w:spacing w:before="40" w:after="40" w:line="210" w:lineRule="exact"/>
              <w:ind w:right="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7"/>
                <w:szCs w:val="17"/>
              </w:rPr>
            </w:pPr>
            <w:r w:rsidRPr="008A18F8">
              <w:rPr>
                <w:rFonts w:ascii="Times New Roman" w:hAnsi="Times New Roman" w:cs="Times New Roman"/>
                <w:b/>
                <w:sz w:val="17"/>
                <w:szCs w:val="17"/>
              </w:rPr>
              <w:t>3.69</w:t>
            </w:r>
          </w:p>
        </w:tc>
        <w:tc>
          <w:tcPr>
            <w:tcW w:w="1260" w:type="dxa"/>
            <w:tcBorders>
              <w:top w:val="nil"/>
              <w:bottom w:val="nil"/>
            </w:tcBorders>
            <w:shd w:val="clear" w:color="auto" w:fill="auto"/>
          </w:tcPr>
          <w:p w14:paraId="0E3DA4FD" w14:textId="77777777" w:rsidR="00CC236A" w:rsidRPr="008A18F8" w:rsidRDefault="00CC236A" w:rsidP="00CC236A">
            <w:pPr>
              <w:suppressAutoHyphens/>
              <w:spacing w:before="40" w:after="40" w:line="210" w:lineRule="exact"/>
              <w:ind w:right="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7"/>
                <w:szCs w:val="17"/>
              </w:rPr>
            </w:pPr>
            <w:r w:rsidRPr="008A18F8">
              <w:rPr>
                <w:rFonts w:ascii="Times New Roman" w:hAnsi="Times New Roman" w:cs="Times New Roman"/>
                <w:b/>
                <w:sz w:val="17"/>
                <w:szCs w:val="17"/>
              </w:rPr>
              <w:t>5.52</w:t>
            </w:r>
          </w:p>
        </w:tc>
        <w:tc>
          <w:tcPr>
            <w:tcW w:w="1260" w:type="dxa"/>
            <w:tcBorders>
              <w:top w:val="nil"/>
              <w:bottom w:val="nil"/>
            </w:tcBorders>
            <w:shd w:val="clear" w:color="auto" w:fill="auto"/>
          </w:tcPr>
          <w:p w14:paraId="6DEF2698" w14:textId="77777777" w:rsidR="00CC236A" w:rsidRPr="008A18F8" w:rsidRDefault="00CC236A" w:rsidP="00CC236A">
            <w:pPr>
              <w:suppressAutoHyphens/>
              <w:spacing w:before="40" w:after="40" w:line="210" w:lineRule="exact"/>
              <w:ind w:right="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7"/>
                <w:szCs w:val="17"/>
              </w:rPr>
            </w:pPr>
            <w:r w:rsidRPr="008A18F8">
              <w:rPr>
                <w:rFonts w:ascii="Times New Roman" w:hAnsi="Times New Roman" w:cs="Times New Roman"/>
                <w:b/>
                <w:sz w:val="17"/>
                <w:szCs w:val="17"/>
              </w:rPr>
              <w:t>6.94</w:t>
            </w:r>
          </w:p>
        </w:tc>
        <w:tc>
          <w:tcPr>
            <w:tcW w:w="1144" w:type="dxa"/>
            <w:tcBorders>
              <w:top w:val="nil"/>
              <w:bottom w:val="nil"/>
            </w:tcBorders>
          </w:tcPr>
          <w:p w14:paraId="0AA88743" w14:textId="77777777" w:rsidR="00CC236A" w:rsidRPr="008A18F8" w:rsidRDefault="00CC236A" w:rsidP="00CC236A">
            <w:pPr>
              <w:suppressAutoHyphens/>
              <w:spacing w:before="40" w:after="40" w:line="210" w:lineRule="exact"/>
              <w:ind w:right="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7"/>
                <w:szCs w:val="17"/>
              </w:rPr>
            </w:pPr>
            <w:r w:rsidRPr="008A18F8">
              <w:rPr>
                <w:rFonts w:ascii="Times New Roman" w:hAnsi="Times New Roman" w:cs="Times New Roman"/>
                <w:b/>
                <w:sz w:val="17"/>
                <w:szCs w:val="17"/>
              </w:rPr>
              <w:t>6.30</w:t>
            </w:r>
          </w:p>
        </w:tc>
        <w:tc>
          <w:tcPr>
            <w:tcW w:w="1144" w:type="dxa"/>
            <w:tcBorders>
              <w:top w:val="nil"/>
              <w:bottom w:val="nil"/>
            </w:tcBorders>
            <w:shd w:val="clear" w:color="auto" w:fill="auto"/>
          </w:tcPr>
          <w:p w14:paraId="7E59DA7F" w14:textId="77777777" w:rsidR="00CC236A" w:rsidRPr="008A18F8" w:rsidRDefault="00CC236A" w:rsidP="00CC236A">
            <w:pPr>
              <w:suppressAutoHyphens/>
              <w:spacing w:before="40" w:after="40" w:line="210" w:lineRule="exact"/>
              <w:ind w:right="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7"/>
                <w:szCs w:val="17"/>
              </w:rPr>
            </w:pPr>
            <w:r w:rsidRPr="008A18F8">
              <w:rPr>
                <w:rFonts w:ascii="Times New Roman" w:hAnsi="Times New Roman" w:cs="Times New Roman"/>
                <w:b/>
                <w:sz w:val="17"/>
                <w:szCs w:val="17"/>
              </w:rPr>
              <w:t>7.61</w:t>
            </w:r>
          </w:p>
        </w:tc>
      </w:tr>
      <w:tr w:rsidR="00CC236A" w:rsidRPr="008A18F8" w14:paraId="3168C077" w14:textId="77777777" w:rsidTr="008A18F8">
        <w:trPr>
          <w:trHeight w:val="20"/>
          <w:jc w:val="center"/>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656E2451" w14:textId="77777777" w:rsidR="00CC236A" w:rsidRPr="008A18F8" w:rsidRDefault="00CC236A" w:rsidP="008A18F8">
            <w:pPr>
              <w:suppressAutoHyphens/>
              <w:spacing w:before="40" w:after="40" w:line="210" w:lineRule="exact"/>
              <w:ind w:left="457" w:right="21"/>
              <w:rPr>
                <w:rFonts w:ascii="Times New Roman" w:hAnsi="Times New Roman" w:cs="Times New Roman"/>
                <w:b w:val="0"/>
                <w:sz w:val="17"/>
                <w:szCs w:val="17"/>
              </w:rPr>
            </w:pPr>
            <w:r w:rsidRPr="008A18F8">
              <w:rPr>
                <w:rFonts w:ascii="Times New Roman" w:hAnsi="Times New Roman" w:cs="Times New Roman"/>
                <w:b w:val="0"/>
                <w:sz w:val="17"/>
                <w:szCs w:val="17"/>
              </w:rPr>
              <w:t>Evaluation Office</w:t>
            </w:r>
          </w:p>
        </w:tc>
        <w:tc>
          <w:tcPr>
            <w:tcW w:w="1260" w:type="dxa"/>
            <w:tcBorders>
              <w:top w:val="nil"/>
              <w:bottom w:val="nil"/>
            </w:tcBorders>
            <w:shd w:val="clear" w:color="auto" w:fill="auto"/>
          </w:tcPr>
          <w:p w14:paraId="4D741F47" w14:textId="77777777" w:rsidR="00CC236A" w:rsidRPr="008A18F8" w:rsidRDefault="00CC236A"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8A18F8">
              <w:rPr>
                <w:rFonts w:ascii="Times New Roman" w:hAnsi="Times New Roman" w:cs="Times New Roman"/>
                <w:sz w:val="17"/>
                <w:szCs w:val="17"/>
              </w:rPr>
              <w:t>2.38</w:t>
            </w:r>
          </w:p>
        </w:tc>
        <w:tc>
          <w:tcPr>
            <w:tcW w:w="1260" w:type="dxa"/>
            <w:tcBorders>
              <w:top w:val="nil"/>
              <w:bottom w:val="nil"/>
            </w:tcBorders>
            <w:shd w:val="clear" w:color="auto" w:fill="auto"/>
          </w:tcPr>
          <w:p w14:paraId="7AE0B730" w14:textId="77777777" w:rsidR="00CC236A" w:rsidRPr="008A18F8" w:rsidRDefault="00CC236A"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8A18F8">
              <w:rPr>
                <w:rFonts w:ascii="Times New Roman" w:hAnsi="Times New Roman" w:cs="Times New Roman"/>
                <w:sz w:val="17"/>
                <w:szCs w:val="17"/>
              </w:rPr>
              <w:t>2.63</w:t>
            </w:r>
          </w:p>
        </w:tc>
        <w:tc>
          <w:tcPr>
            <w:tcW w:w="1260" w:type="dxa"/>
            <w:tcBorders>
              <w:top w:val="nil"/>
              <w:bottom w:val="nil"/>
            </w:tcBorders>
            <w:shd w:val="clear" w:color="auto" w:fill="auto"/>
          </w:tcPr>
          <w:p w14:paraId="19E0A8D2" w14:textId="77777777" w:rsidR="00CC236A" w:rsidRPr="008A18F8" w:rsidRDefault="00CC236A"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8A18F8">
              <w:rPr>
                <w:rFonts w:ascii="Times New Roman" w:hAnsi="Times New Roman" w:cs="Times New Roman"/>
                <w:sz w:val="17"/>
                <w:szCs w:val="17"/>
              </w:rPr>
              <w:t>3.71</w:t>
            </w:r>
          </w:p>
        </w:tc>
        <w:tc>
          <w:tcPr>
            <w:tcW w:w="1144" w:type="dxa"/>
            <w:tcBorders>
              <w:top w:val="nil"/>
              <w:bottom w:val="nil"/>
            </w:tcBorders>
          </w:tcPr>
          <w:p w14:paraId="5AB947D8" w14:textId="77777777" w:rsidR="00CC236A" w:rsidRPr="008A18F8" w:rsidRDefault="00CC236A"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8A18F8">
              <w:rPr>
                <w:rFonts w:ascii="Times New Roman" w:hAnsi="Times New Roman" w:cs="Times New Roman"/>
                <w:sz w:val="17"/>
                <w:szCs w:val="17"/>
              </w:rPr>
              <w:t xml:space="preserve">3.36 </w:t>
            </w:r>
          </w:p>
        </w:tc>
        <w:tc>
          <w:tcPr>
            <w:tcW w:w="1144" w:type="dxa"/>
            <w:tcBorders>
              <w:top w:val="nil"/>
              <w:bottom w:val="nil"/>
            </w:tcBorders>
            <w:shd w:val="clear" w:color="auto" w:fill="auto"/>
          </w:tcPr>
          <w:p w14:paraId="11061538" w14:textId="77777777" w:rsidR="00CC236A" w:rsidRPr="008A18F8" w:rsidRDefault="00CC236A"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8A18F8">
              <w:rPr>
                <w:rFonts w:ascii="Times New Roman" w:hAnsi="Times New Roman" w:cs="Times New Roman"/>
                <w:sz w:val="17"/>
                <w:szCs w:val="17"/>
              </w:rPr>
              <w:t>4.38</w:t>
            </w:r>
          </w:p>
        </w:tc>
      </w:tr>
      <w:tr w:rsidR="00CC236A" w:rsidRPr="008A18F8" w14:paraId="40DDC006" w14:textId="77777777" w:rsidTr="008A18F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085" w:type="dxa"/>
            <w:tcBorders>
              <w:top w:val="nil"/>
              <w:bottom w:val="nil"/>
            </w:tcBorders>
            <w:shd w:val="clear" w:color="auto" w:fill="auto"/>
          </w:tcPr>
          <w:p w14:paraId="1AAC54C6" w14:textId="77777777" w:rsidR="00CC236A" w:rsidRPr="008A18F8" w:rsidRDefault="00CC236A" w:rsidP="008A18F8">
            <w:pPr>
              <w:suppressAutoHyphens/>
              <w:spacing w:before="40" w:after="40" w:line="210" w:lineRule="exact"/>
              <w:ind w:left="457" w:right="21"/>
              <w:rPr>
                <w:rFonts w:ascii="Times New Roman" w:hAnsi="Times New Roman" w:cs="Times New Roman"/>
                <w:bCs w:val="0"/>
                <w:sz w:val="17"/>
                <w:szCs w:val="17"/>
              </w:rPr>
            </w:pPr>
            <w:r w:rsidRPr="008A18F8">
              <w:rPr>
                <w:rFonts w:ascii="Times New Roman" w:hAnsi="Times New Roman" w:cs="Times New Roman"/>
                <w:b w:val="0"/>
                <w:sz w:val="17"/>
                <w:szCs w:val="17"/>
              </w:rPr>
              <w:t>Decentralized evaluation function</w:t>
            </w:r>
          </w:p>
        </w:tc>
        <w:tc>
          <w:tcPr>
            <w:tcW w:w="1260" w:type="dxa"/>
            <w:tcBorders>
              <w:top w:val="nil"/>
              <w:bottom w:val="nil"/>
            </w:tcBorders>
            <w:shd w:val="clear" w:color="auto" w:fill="auto"/>
          </w:tcPr>
          <w:p w14:paraId="603CE49A" w14:textId="77777777" w:rsidR="00CC236A" w:rsidRPr="008A18F8" w:rsidRDefault="00CC236A" w:rsidP="00CC236A">
            <w:pPr>
              <w:suppressAutoHyphens/>
              <w:spacing w:before="40" w:after="40" w:line="210" w:lineRule="exact"/>
              <w:ind w:right="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r w:rsidRPr="008A18F8">
              <w:rPr>
                <w:rFonts w:ascii="Times New Roman" w:hAnsi="Times New Roman" w:cs="Times New Roman"/>
                <w:sz w:val="17"/>
                <w:szCs w:val="17"/>
              </w:rPr>
              <w:t>1.31***</w:t>
            </w:r>
          </w:p>
        </w:tc>
        <w:tc>
          <w:tcPr>
            <w:tcW w:w="1260" w:type="dxa"/>
            <w:tcBorders>
              <w:top w:val="nil"/>
              <w:bottom w:val="nil"/>
            </w:tcBorders>
            <w:shd w:val="clear" w:color="auto" w:fill="auto"/>
          </w:tcPr>
          <w:p w14:paraId="1B1ADC63" w14:textId="77777777" w:rsidR="00CC236A" w:rsidRPr="008A18F8" w:rsidRDefault="00CC236A" w:rsidP="00CC236A">
            <w:pPr>
              <w:suppressAutoHyphens/>
              <w:spacing w:before="40" w:after="40" w:line="210" w:lineRule="exact"/>
              <w:ind w:right="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r w:rsidRPr="008A18F8">
              <w:rPr>
                <w:rFonts w:ascii="Times New Roman" w:hAnsi="Times New Roman" w:cs="Times New Roman"/>
                <w:sz w:val="17"/>
                <w:szCs w:val="17"/>
              </w:rPr>
              <w:t>2.89</w:t>
            </w:r>
          </w:p>
        </w:tc>
        <w:tc>
          <w:tcPr>
            <w:tcW w:w="1260" w:type="dxa"/>
            <w:tcBorders>
              <w:top w:val="nil"/>
              <w:bottom w:val="nil"/>
            </w:tcBorders>
            <w:shd w:val="clear" w:color="auto" w:fill="auto"/>
          </w:tcPr>
          <w:p w14:paraId="70857FC7" w14:textId="77777777" w:rsidR="00CC236A" w:rsidRPr="008A18F8" w:rsidRDefault="00CC236A" w:rsidP="00CC236A">
            <w:pPr>
              <w:suppressAutoHyphens/>
              <w:spacing w:before="40" w:after="40" w:line="210" w:lineRule="exact"/>
              <w:ind w:right="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r w:rsidRPr="008A18F8">
              <w:rPr>
                <w:rFonts w:ascii="Times New Roman" w:hAnsi="Times New Roman" w:cs="Times New Roman"/>
                <w:sz w:val="17"/>
                <w:szCs w:val="17"/>
              </w:rPr>
              <w:t>3.23</w:t>
            </w:r>
          </w:p>
        </w:tc>
        <w:tc>
          <w:tcPr>
            <w:tcW w:w="1144" w:type="dxa"/>
            <w:tcBorders>
              <w:top w:val="nil"/>
              <w:bottom w:val="nil"/>
            </w:tcBorders>
          </w:tcPr>
          <w:p w14:paraId="7C964481" w14:textId="6EBB1B5A" w:rsidR="00CC236A" w:rsidRPr="008A18F8" w:rsidRDefault="00CC236A" w:rsidP="008A18F8">
            <w:pPr>
              <w:suppressAutoHyphens/>
              <w:spacing w:before="40" w:after="40" w:line="210" w:lineRule="exact"/>
              <w:ind w:right="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r w:rsidRPr="008A18F8">
              <w:rPr>
                <w:rFonts w:ascii="Times New Roman" w:hAnsi="Times New Roman" w:cs="Times New Roman"/>
                <w:sz w:val="17"/>
                <w:szCs w:val="17"/>
              </w:rPr>
              <w:t>2.94</w:t>
            </w:r>
          </w:p>
        </w:tc>
        <w:tc>
          <w:tcPr>
            <w:tcW w:w="1144" w:type="dxa"/>
            <w:tcBorders>
              <w:top w:val="nil"/>
              <w:bottom w:val="nil"/>
            </w:tcBorders>
            <w:shd w:val="clear" w:color="auto" w:fill="auto"/>
          </w:tcPr>
          <w:p w14:paraId="2BCF0ACA" w14:textId="77777777" w:rsidR="00CC236A" w:rsidRPr="008A18F8" w:rsidRDefault="00CC236A" w:rsidP="00CC236A">
            <w:pPr>
              <w:suppressAutoHyphens/>
              <w:spacing w:before="40" w:after="40" w:line="210" w:lineRule="exact"/>
              <w:ind w:right="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r w:rsidRPr="008A18F8">
              <w:rPr>
                <w:rFonts w:ascii="Times New Roman" w:hAnsi="Times New Roman" w:cs="Times New Roman"/>
                <w:sz w:val="17"/>
                <w:szCs w:val="17"/>
              </w:rPr>
              <w:t>3.23</w:t>
            </w:r>
          </w:p>
        </w:tc>
      </w:tr>
      <w:tr w:rsidR="00CC236A" w:rsidRPr="008A18F8" w14:paraId="274C8F0E" w14:textId="77777777" w:rsidTr="008A18F8">
        <w:trPr>
          <w:trHeight w:val="20"/>
          <w:jc w:val="center"/>
        </w:trPr>
        <w:tc>
          <w:tcPr>
            <w:cnfStyle w:val="001000000000" w:firstRow="0" w:lastRow="0" w:firstColumn="1" w:lastColumn="0" w:oddVBand="0" w:evenVBand="0" w:oddHBand="0" w:evenHBand="0" w:firstRowFirstColumn="0" w:firstRowLastColumn="0" w:lastRowFirstColumn="0" w:lastRowLastColumn="0"/>
            <w:tcW w:w="3085" w:type="dxa"/>
            <w:tcBorders>
              <w:top w:val="nil"/>
            </w:tcBorders>
            <w:shd w:val="clear" w:color="auto" w:fill="auto"/>
          </w:tcPr>
          <w:p w14:paraId="161C7B73" w14:textId="05F167E6" w:rsidR="00CC236A" w:rsidRPr="008A18F8" w:rsidRDefault="00CC236A" w:rsidP="005D4C91">
            <w:pPr>
              <w:suppressAutoHyphens/>
              <w:spacing w:before="40" w:after="40" w:line="210" w:lineRule="exact"/>
              <w:ind w:right="21"/>
              <w:rPr>
                <w:rFonts w:ascii="Times New Roman" w:hAnsi="Times New Roman" w:cs="Times New Roman"/>
                <w:b w:val="0"/>
                <w:sz w:val="17"/>
                <w:szCs w:val="17"/>
              </w:rPr>
            </w:pPr>
            <w:r w:rsidRPr="008A18F8">
              <w:rPr>
                <w:rFonts w:ascii="Times New Roman" w:hAnsi="Times New Roman" w:cs="Times New Roman"/>
                <w:b w:val="0"/>
                <w:sz w:val="17"/>
                <w:szCs w:val="17"/>
              </w:rPr>
              <w:t xml:space="preserve">Total </w:t>
            </w:r>
            <w:r w:rsidR="005D4C91" w:rsidRPr="008A18F8">
              <w:rPr>
                <w:rFonts w:ascii="Times New Roman" w:hAnsi="Times New Roman" w:cs="Times New Roman"/>
                <w:b w:val="0"/>
                <w:sz w:val="17"/>
                <w:szCs w:val="17"/>
              </w:rPr>
              <w:t>b</w:t>
            </w:r>
            <w:r w:rsidRPr="008A18F8">
              <w:rPr>
                <w:rFonts w:ascii="Times New Roman" w:hAnsi="Times New Roman" w:cs="Times New Roman"/>
                <w:b w:val="0"/>
                <w:sz w:val="17"/>
                <w:szCs w:val="17"/>
              </w:rPr>
              <w:t xml:space="preserve">udget of the </w:t>
            </w:r>
            <w:r w:rsidR="005D4C91" w:rsidRPr="008A18F8">
              <w:rPr>
                <w:rFonts w:ascii="Times New Roman" w:hAnsi="Times New Roman" w:cs="Times New Roman"/>
                <w:b w:val="0"/>
                <w:sz w:val="17"/>
                <w:szCs w:val="17"/>
              </w:rPr>
              <w:t>e</w:t>
            </w:r>
            <w:r w:rsidRPr="008A18F8">
              <w:rPr>
                <w:rFonts w:ascii="Times New Roman" w:hAnsi="Times New Roman" w:cs="Times New Roman"/>
                <w:b w:val="0"/>
                <w:sz w:val="17"/>
                <w:szCs w:val="17"/>
              </w:rPr>
              <w:t xml:space="preserve">valuation </w:t>
            </w:r>
            <w:r w:rsidR="005D4C91" w:rsidRPr="008A18F8">
              <w:rPr>
                <w:rFonts w:ascii="Times New Roman" w:hAnsi="Times New Roman" w:cs="Times New Roman"/>
                <w:b w:val="0"/>
                <w:sz w:val="17"/>
                <w:szCs w:val="17"/>
              </w:rPr>
              <w:t>f</w:t>
            </w:r>
            <w:r w:rsidRPr="008A18F8">
              <w:rPr>
                <w:rFonts w:ascii="Times New Roman" w:hAnsi="Times New Roman" w:cs="Times New Roman"/>
                <w:b w:val="0"/>
                <w:sz w:val="17"/>
                <w:szCs w:val="17"/>
              </w:rPr>
              <w:t xml:space="preserve">unction as percentage of UNFPA </w:t>
            </w:r>
            <w:r w:rsidR="005D4C91" w:rsidRPr="008A18F8">
              <w:rPr>
                <w:rFonts w:ascii="Times New Roman" w:hAnsi="Times New Roman" w:cs="Times New Roman"/>
                <w:b w:val="0"/>
                <w:sz w:val="17"/>
                <w:szCs w:val="17"/>
              </w:rPr>
              <w:t>p</w:t>
            </w:r>
            <w:r w:rsidRPr="008A18F8">
              <w:rPr>
                <w:rFonts w:ascii="Times New Roman" w:hAnsi="Times New Roman" w:cs="Times New Roman"/>
                <w:b w:val="0"/>
                <w:sz w:val="17"/>
                <w:szCs w:val="17"/>
              </w:rPr>
              <w:t xml:space="preserve">rogramme </w:t>
            </w:r>
            <w:r w:rsidR="005D4C91" w:rsidRPr="008A18F8">
              <w:rPr>
                <w:rFonts w:ascii="Times New Roman" w:hAnsi="Times New Roman" w:cs="Times New Roman"/>
                <w:b w:val="0"/>
                <w:sz w:val="17"/>
                <w:szCs w:val="17"/>
              </w:rPr>
              <w:t>b</w:t>
            </w:r>
            <w:r w:rsidRPr="008A18F8">
              <w:rPr>
                <w:rFonts w:ascii="Times New Roman" w:hAnsi="Times New Roman" w:cs="Times New Roman"/>
                <w:b w:val="0"/>
                <w:sz w:val="17"/>
                <w:szCs w:val="17"/>
              </w:rPr>
              <w:t>udget expenditures</w:t>
            </w:r>
          </w:p>
        </w:tc>
        <w:tc>
          <w:tcPr>
            <w:tcW w:w="1260" w:type="dxa"/>
            <w:tcBorders>
              <w:top w:val="nil"/>
            </w:tcBorders>
            <w:shd w:val="clear" w:color="auto" w:fill="auto"/>
          </w:tcPr>
          <w:p w14:paraId="5DB8B960" w14:textId="16F03951" w:rsidR="00CC236A" w:rsidRPr="008A18F8" w:rsidRDefault="00137976"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7"/>
                <w:szCs w:val="17"/>
              </w:rPr>
            </w:pPr>
            <w:r>
              <w:rPr>
                <w:rFonts w:ascii="Times New Roman" w:hAnsi="Times New Roman" w:cs="Times New Roman"/>
                <w:i/>
                <w:sz w:val="17"/>
                <w:szCs w:val="17"/>
              </w:rPr>
              <w:t>0</w:t>
            </w:r>
            <w:r w:rsidR="00CC236A" w:rsidRPr="008A18F8">
              <w:rPr>
                <w:rFonts w:ascii="Times New Roman" w:hAnsi="Times New Roman" w:cs="Times New Roman"/>
                <w:i/>
                <w:sz w:val="17"/>
                <w:szCs w:val="17"/>
              </w:rPr>
              <w:t>.45%</w:t>
            </w:r>
          </w:p>
        </w:tc>
        <w:tc>
          <w:tcPr>
            <w:tcW w:w="1260" w:type="dxa"/>
            <w:tcBorders>
              <w:top w:val="nil"/>
            </w:tcBorders>
            <w:shd w:val="clear" w:color="auto" w:fill="auto"/>
          </w:tcPr>
          <w:p w14:paraId="12AC8679" w14:textId="1642A92B" w:rsidR="00CC236A" w:rsidRPr="008A18F8" w:rsidRDefault="00137976"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7"/>
                <w:szCs w:val="17"/>
              </w:rPr>
            </w:pPr>
            <w:r>
              <w:rPr>
                <w:rFonts w:ascii="Times New Roman" w:hAnsi="Times New Roman" w:cs="Times New Roman"/>
                <w:i/>
                <w:sz w:val="17"/>
                <w:szCs w:val="17"/>
              </w:rPr>
              <w:t>0</w:t>
            </w:r>
            <w:r w:rsidR="00CC236A" w:rsidRPr="008A18F8">
              <w:rPr>
                <w:rFonts w:ascii="Times New Roman" w:hAnsi="Times New Roman" w:cs="Times New Roman"/>
                <w:i/>
                <w:sz w:val="17"/>
                <w:szCs w:val="17"/>
              </w:rPr>
              <w:t>.69%</w:t>
            </w:r>
          </w:p>
        </w:tc>
        <w:tc>
          <w:tcPr>
            <w:tcW w:w="1260" w:type="dxa"/>
            <w:tcBorders>
              <w:top w:val="nil"/>
            </w:tcBorders>
            <w:shd w:val="clear" w:color="auto" w:fill="auto"/>
          </w:tcPr>
          <w:p w14:paraId="7FAF8753" w14:textId="7852A326" w:rsidR="00CC236A" w:rsidRPr="008A18F8" w:rsidRDefault="00137976"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7"/>
                <w:szCs w:val="17"/>
              </w:rPr>
            </w:pPr>
            <w:r>
              <w:rPr>
                <w:rFonts w:ascii="Times New Roman" w:hAnsi="Times New Roman" w:cs="Times New Roman"/>
                <w:i/>
                <w:sz w:val="17"/>
                <w:szCs w:val="17"/>
              </w:rPr>
              <w:t>0</w:t>
            </w:r>
            <w:r w:rsidR="00CC236A" w:rsidRPr="008A18F8">
              <w:rPr>
                <w:rFonts w:ascii="Times New Roman" w:hAnsi="Times New Roman" w:cs="Times New Roman"/>
                <w:i/>
                <w:sz w:val="17"/>
                <w:szCs w:val="17"/>
              </w:rPr>
              <w:t>.91%</w:t>
            </w:r>
          </w:p>
        </w:tc>
        <w:tc>
          <w:tcPr>
            <w:tcW w:w="1144" w:type="dxa"/>
            <w:tcBorders>
              <w:top w:val="nil"/>
            </w:tcBorders>
          </w:tcPr>
          <w:p w14:paraId="0BE78446" w14:textId="1A0B0B6B" w:rsidR="00CC236A" w:rsidRPr="00652A5D" w:rsidRDefault="00137976"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7"/>
                <w:szCs w:val="17"/>
              </w:rPr>
            </w:pPr>
            <w:r w:rsidRPr="00652A5D">
              <w:rPr>
                <w:rFonts w:ascii="Times New Roman" w:hAnsi="Times New Roman" w:cs="Times New Roman"/>
                <w:i/>
                <w:sz w:val="17"/>
                <w:szCs w:val="17"/>
              </w:rPr>
              <w:t>0</w:t>
            </w:r>
            <w:r w:rsidR="00F168B6" w:rsidRPr="00652A5D">
              <w:rPr>
                <w:rFonts w:ascii="Times New Roman" w:hAnsi="Times New Roman" w:cs="Times New Roman"/>
                <w:i/>
                <w:sz w:val="17"/>
                <w:szCs w:val="17"/>
              </w:rPr>
              <w:t>.83%</w:t>
            </w:r>
          </w:p>
        </w:tc>
        <w:tc>
          <w:tcPr>
            <w:tcW w:w="1144" w:type="dxa"/>
            <w:tcBorders>
              <w:top w:val="nil"/>
            </w:tcBorders>
            <w:shd w:val="clear" w:color="auto" w:fill="auto"/>
          </w:tcPr>
          <w:p w14:paraId="4BCA347D" w14:textId="77777777" w:rsidR="00CC236A" w:rsidRPr="008A18F8" w:rsidRDefault="00CC236A" w:rsidP="00CC236A">
            <w:pPr>
              <w:suppressAutoHyphens/>
              <w:spacing w:before="40" w:after="40" w:line="210" w:lineRule="exact"/>
              <w:ind w:right="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color w:val="FF0000"/>
                <w:sz w:val="17"/>
                <w:szCs w:val="17"/>
              </w:rPr>
            </w:pPr>
            <w:r w:rsidRPr="008A18F8">
              <w:rPr>
                <w:rFonts w:ascii="Times New Roman" w:hAnsi="Times New Roman" w:cs="Times New Roman"/>
                <w:b/>
                <w:i/>
                <w:sz w:val="17"/>
                <w:szCs w:val="17"/>
              </w:rPr>
              <w:t>-</w:t>
            </w:r>
          </w:p>
        </w:tc>
      </w:tr>
    </w:tbl>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8"/>
      </w:tblGrid>
      <w:tr w:rsidR="0072427C" w:rsidRPr="00137976" w14:paraId="64920AD4" w14:textId="77777777" w:rsidTr="005D4C91">
        <w:tc>
          <w:tcPr>
            <w:tcW w:w="9208" w:type="dxa"/>
          </w:tcPr>
          <w:p w14:paraId="7118EEE7" w14:textId="09483F78" w:rsidR="0072427C" w:rsidRPr="00137976" w:rsidRDefault="00CC236A" w:rsidP="00137976">
            <w:pPr>
              <w:pStyle w:val="NUM1para"/>
              <w:numPr>
                <w:ilvl w:val="0"/>
                <w:numId w:val="0"/>
              </w:numPr>
              <w:spacing w:before="240"/>
              <w:ind w:right="172"/>
              <w:rPr>
                <w:rFonts w:ascii="Times New Roman" w:hAnsi="Times New Roman"/>
                <w:sz w:val="16"/>
                <w:szCs w:val="18"/>
              </w:rPr>
            </w:pPr>
            <w:r w:rsidRPr="00137976">
              <w:rPr>
                <w:rFonts w:ascii="Times New Roman" w:hAnsi="Times New Roman"/>
                <w:i/>
                <w:sz w:val="16"/>
                <w:szCs w:val="18"/>
              </w:rPr>
              <w:t>Source</w:t>
            </w:r>
            <w:r w:rsidR="001069DD" w:rsidRPr="00137976">
              <w:rPr>
                <w:rFonts w:ascii="Times New Roman" w:hAnsi="Times New Roman"/>
                <w:i/>
                <w:sz w:val="16"/>
                <w:szCs w:val="18"/>
              </w:rPr>
              <w:t>:</w:t>
            </w:r>
            <w:r w:rsidRPr="00137976">
              <w:rPr>
                <w:rFonts w:ascii="Times New Roman" w:hAnsi="Times New Roman"/>
                <w:sz w:val="16"/>
                <w:szCs w:val="18"/>
              </w:rPr>
              <w:t xml:space="preserve"> “Total UNFPA </w:t>
            </w:r>
            <w:r w:rsidR="008A18F8" w:rsidRPr="00137976">
              <w:rPr>
                <w:rFonts w:ascii="Times New Roman" w:hAnsi="Times New Roman"/>
                <w:sz w:val="16"/>
                <w:szCs w:val="18"/>
              </w:rPr>
              <w:t>p</w:t>
            </w:r>
            <w:r w:rsidRPr="00137976">
              <w:rPr>
                <w:rFonts w:ascii="Times New Roman" w:hAnsi="Times New Roman"/>
                <w:sz w:val="16"/>
                <w:szCs w:val="18"/>
              </w:rPr>
              <w:t xml:space="preserve">rogramme </w:t>
            </w:r>
            <w:r w:rsidR="008A18F8" w:rsidRPr="00137976">
              <w:rPr>
                <w:rFonts w:ascii="Times New Roman" w:hAnsi="Times New Roman"/>
                <w:sz w:val="16"/>
                <w:szCs w:val="18"/>
              </w:rPr>
              <w:t>b</w:t>
            </w:r>
            <w:r w:rsidRPr="00137976">
              <w:rPr>
                <w:rFonts w:ascii="Times New Roman" w:hAnsi="Times New Roman"/>
                <w:sz w:val="16"/>
                <w:szCs w:val="18"/>
              </w:rPr>
              <w:t xml:space="preserve">udget </w:t>
            </w:r>
            <w:r w:rsidR="008A18F8" w:rsidRPr="00137976">
              <w:rPr>
                <w:rFonts w:ascii="Times New Roman" w:hAnsi="Times New Roman"/>
                <w:sz w:val="16"/>
                <w:szCs w:val="18"/>
              </w:rPr>
              <w:t>e</w:t>
            </w:r>
            <w:r w:rsidRPr="00137976">
              <w:rPr>
                <w:rFonts w:ascii="Times New Roman" w:hAnsi="Times New Roman"/>
                <w:sz w:val="16"/>
                <w:szCs w:val="18"/>
              </w:rPr>
              <w:t>xpenditure”</w:t>
            </w:r>
            <w:r w:rsidR="0057071F" w:rsidRPr="00137976">
              <w:rPr>
                <w:rFonts w:ascii="Times New Roman" w:hAnsi="Times New Roman"/>
                <w:sz w:val="16"/>
                <w:szCs w:val="18"/>
              </w:rPr>
              <w:t>,</w:t>
            </w:r>
            <w:r w:rsidRPr="00137976">
              <w:rPr>
                <w:rFonts w:ascii="Times New Roman" w:hAnsi="Times New Roman"/>
                <w:sz w:val="16"/>
                <w:szCs w:val="18"/>
              </w:rPr>
              <w:t xml:space="preserve"> generated from the UNFPA Statistical and Financial Reviews for 2014-2017. </w:t>
            </w:r>
            <w:r w:rsidR="00EA38F6" w:rsidRPr="00137976">
              <w:rPr>
                <w:rFonts w:ascii="Times New Roman" w:hAnsi="Times New Roman"/>
                <w:sz w:val="16"/>
                <w:szCs w:val="18"/>
              </w:rPr>
              <w:t>The Evaluation Office</w:t>
            </w:r>
            <w:r w:rsidRPr="00137976">
              <w:rPr>
                <w:rFonts w:ascii="Times New Roman" w:hAnsi="Times New Roman"/>
                <w:sz w:val="16"/>
                <w:szCs w:val="18"/>
              </w:rPr>
              <w:t xml:space="preserve"> </w:t>
            </w:r>
            <w:r w:rsidR="00EA38F6" w:rsidRPr="00137976">
              <w:rPr>
                <w:rFonts w:ascii="Times New Roman" w:hAnsi="Times New Roman"/>
                <w:sz w:val="16"/>
                <w:szCs w:val="18"/>
              </w:rPr>
              <w:t xml:space="preserve">budget </w:t>
            </w:r>
            <w:r w:rsidRPr="00137976">
              <w:rPr>
                <w:rFonts w:ascii="Times New Roman" w:hAnsi="Times New Roman"/>
                <w:sz w:val="16"/>
                <w:szCs w:val="18"/>
              </w:rPr>
              <w:t xml:space="preserve">is derived from </w:t>
            </w:r>
            <w:r w:rsidR="00917243">
              <w:rPr>
                <w:rFonts w:ascii="Times New Roman" w:hAnsi="Times New Roman"/>
                <w:sz w:val="16"/>
                <w:szCs w:val="18"/>
              </w:rPr>
              <w:t xml:space="preserve">the </w:t>
            </w:r>
            <w:r w:rsidR="00F168B6" w:rsidRPr="00137976">
              <w:rPr>
                <w:rFonts w:ascii="Times New Roman" w:hAnsi="Times New Roman"/>
                <w:sz w:val="16"/>
                <w:szCs w:val="18"/>
              </w:rPr>
              <w:t xml:space="preserve">UNFPA </w:t>
            </w:r>
            <w:r w:rsidR="00917243">
              <w:rPr>
                <w:rFonts w:ascii="Times New Roman" w:hAnsi="Times New Roman"/>
                <w:sz w:val="16"/>
                <w:szCs w:val="18"/>
              </w:rPr>
              <w:t>f</w:t>
            </w:r>
            <w:r w:rsidR="00F168B6" w:rsidRPr="00137976">
              <w:rPr>
                <w:rFonts w:ascii="Times New Roman" w:hAnsi="Times New Roman"/>
                <w:sz w:val="16"/>
                <w:szCs w:val="18"/>
              </w:rPr>
              <w:t>inancial system (Cognos)</w:t>
            </w:r>
            <w:r w:rsidRPr="00137976">
              <w:rPr>
                <w:rFonts w:ascii="Times New Roman" w:hAnsi="Times New Roman"/>
                <w:sz w:val="16"/>
                <w:szCs w:val="18"/>
              </w:rPr>
              <w:t xml:space="preserve">, while </w:t>
            </w:r>
            <w:r w:rsidR="00917243">
              <w:rPr>
                <w:rFonts w:ascii="Times New Roman" w:hAnsi="Times New Roman"/>
                <w:sz w:val="16"/>
                <w:szCs w:val="18"/>
              </w:rPr>
              <w:t xml:space="preserve">the </w:t>
            </w:r>
            <w:r w:rsidRPr="00137976">
              <w:rPr>
                <w:rFonts w:ascii="Times New Roman" w:hAnsi="Times New Roman"/>
                <w:sz w:val="16"/>
                <w:szCs w:val="18"/>
              </w:rPr>
              <w:t>budget for the decentralized function includes the bud</w:t>
            </w:r>
            <w:r w:rsidR="00EA38F6" w:rsidRPr="00137976">
              <w:rPr>
                <w:rFonts w:ascii="Times New Roman" w:hAnsi="Times New Roman"/>
                <w:sz w:val="16"/>
                <w:szCs w:val="18"/>
              </w:rPr>
              <w:t>get for decentralized programme-</w:t>
            </w:r>
            <w:r w:rsidRPr="00137976">
              <w:rPr>
                <w:rFonts w:ascii="Times New Roman" w:hAnsi="Times New Roman"/>
                <w:sz w:val="16"/>
                <w:szCs w:val="18"/>
              </w:rPr>
              <w:t xml:space="preserve">level evaluations (self-reported) and decentralized staffing costs (generated through a survey conducted by </w:t>
            </w:r>
            <w:r w:rsidR="00EA38F6" w:rsidRPr="00137976">
              <w:rPr>
                <w:rFonts w:ascii="Times New Roman" w:hAnsi="Times New Roman"/>
                <w:sz w:val="16"/>
                <w:szCs w:val="18"/>
              </w:rPr>
              <w:t>the Evaluation Office</w:t>
            </w:r>
            <w:r w:rsidRPr="00137976">
              <w:rPr>
                <w:rFonts w:ascii="Times New Roman" w:hAnsi="Times New Roman"/>
                <w:sz w:val="16"/>
                <w:szCs w:val="18"/>
              </w:rPr>
              <w:t xml:space="preserve"> in 2016).</w:t>
            </w:r>
          </w:p>
        </w:tc>
      </w:tr>
      <w:tr w:rsidR="0072427C" w:rsidRPr="00137976" w14:paraId="5969D1A4" w14:textId="77777777" w:rsidTr="005D4C91">
        <w:tc>
          <w:tcPr>
            <w:tcW w:w="9208" w:type="dxa"/>
          </w:tcPr>
          <w:p w14:paraId="51B64B0B" w14:textId="2D2E3019" w:rsidR="0072427C" w:rsidRPr="00137976" w:rsidRDefault="00F168B6" w:rsidP="00137976">
            <w:pPr>
              <w:pStyle w:val="NUM1para"/>
              <w:numPr>
                <w:ilvl w:val="0"/>
                <w:numId w:val="0"/>
              </w:numPr>
              <w:ind w:right="172"/>
              <w:rPr>
                <w:rFonts w:ascii="Times New Roman" w:hAnsi="Times New Roman"/>
                <w:sz w:val="16"/>
                <w:szCs w:val="18"/>
              </w:rPr>
            </w:pPr>
            <w:r w:rsidRPr="00137976">
              <w:rPr>
                <w:rFonts w:ascii="Times New Roman" w:hAnsi="Times New Roman"/>
                <w:sz w:val="16"/>
                <w:szCs w:val="18"/>
              </w:rPr>
              <w:t xml:space="preserve">* </w:t>
            </w:r>
            <w:r w:rsidR="00CC236A" w:rsidRPr="00137976">
              <w:rPr>
                <w:rFonts w:ascii="Times New Roman" w:hAnsi="Times New Roman"/>
                <w:sz w:val="16"/>
                <w:szCs w:val="18"/>
              </w:rPr>
              <w:t xml:space="preserve">Data on total </w:t>
            </w:r>
            <w:r w:rsidRPr="00137976">
              <w:rPr>
                <w:rFonts w:ascii="Times New Roman" w:hAnsi="Times New Roman"/>
                <w:sz w:val="16"/>
                <w:szCs w:val="18"/>
              </w:rPr>
              <w:t xml:space="preserve">2018 </w:t>
            </w:r>
            <w:r w:rsidR="00CC236A" w:rsidRPr="00137976">
              <w:rPr>
                <w:rFonts w:ascii="Times New Roman" w:hAnsi="Times New Roman"/>
                <w:sz w:val="16"/>
                <w:szCs w:val="18"/>
              </w:rPr>
              <w:t xml:space="preserve">UNFPA </w:t>
            </w:r>
            <w:r w:rsidR="008A18F8" w:rsidRPr="00137976">
              <w:rPr>
                <w:rFonts w:ascii="Times New Roman" w:hAnsi="Times New Roman"/>
                <w:sz w:val="16"/>
                <w:szCs w:val="18"/>
              </w:rPr>
              <w:t>p</w:t>
            </w:r>
            <w:r w:rsidR="00CC236A" w:rsidRPr="00137976">
              <w:rPr>
                <w:rFonts w:ascii="Times New Roman" w:hAnsi="Times New Roman"/>
                <w:sz w:val="16"/>
                <w:szCs w:val="18"/>
              </w:rPr>
              <w:t>rogramme budget expenditure will be available in 2019.</w:t>
            </w:r>
          </w:p>
        </w:tc>
      </w:tr>
      <w:tr w:rsidR="0072427C" w:rsidRPr="00137976" w14:paraId="4A733374" w14:textId="77777777" w:rsidTr="005D4C91">
        <w:tc>
          <w:tcPr>
            <w:tcW w:w="9208" w:type="dxa"/>
          </w:tcPr>
          <w:p w14:paraId="4B9C68F4" w14:textId="33B7A2DB" w:rsidR="0072427C" w:rsidRPr="00137976" w:rsidRDefault="00CC236A" w:rsidP="00137976">
            <w:pPr>
              <w:pStyle w:val="NUM1para"/>
              <w:numPr>
                <w:ilvl w:val="0"/>
                <w:numId w:val="0"/>
              </w:numPr>
              <w:ind w:right="172"/>
              <w:rPr>
                <w:rFonts w:ascii="Times New Roman" w:hAnsi="Times New Roman"/>
                <w:sz w:val="16"/>
                <w:szCs w:val="18"/>
              </w:rPr>
            </w:pPr>
            <w:r w:rsidRPr="00137976">
              <w:rPr>
                <w:rFonts w:ascii="Times New Roman" w:hAnsi="Times New Roman"/>
                <w:sz w:val="16"/>
                <w:szCs w:val="18"/>
              </w:rPr>
              <w:t>**</w:t>
            </w:r>
            <w:r w:rsidR="001069DD" w:rsidRPr="00137976">
              <w:rPr>
                <w:rFonts w:ascii="Times New Roman" w:hAnsi="Times New Roman"/>
                <w:sz w:val="16"/>
                <w:szCs w:val="18"/>
              </w:rPr>
              <w:t xml:space="preserve"> </w:t>
            </w:r>
            <w:r w:rsidRPr="00137976">
              <w:rPr>
                <w:rFonts w:ascii="Times New Roman" w:hAnsi="Times New Roman"/>
                <w:sz w:val="16"/>
                <w:szCs w:val="18"/>
              </w:rPr>
              <w:t xml:space="preserve">See methodological note in paragraph </w:t>
            </w:r>
            <w:r w:rsidR="00D73B5E" w:rsidRPr="00137976">
              <w:rPr>
                <w:rFonts w:ascii="Times New Roman" w:hAnsi="Times New Roman"/>
                <w:sz w:val="16"/>
                <w:szCs w:val="18"/>
              </w:rPr>
              <w:t>24</w:t>
            </w:r>
            <w:r w:rsidRPr="00137976">
              <w:rPr>
                <w:rFonts w:ascii="Times New Roman" w:hAnsi="Times New Roman"/>
                <w:sz w:val="16"/>
                <w:szCs w:val="18"/>
              </w:rPr>
              <w:t>.</w:t>
            </w:r>
          </w:p>
        </w:tc>
      </w:tr>
      <w:tr w:rsidR="0072427C" w:rsidRPr="00137976" w14:paraId="00E45F08" w14:textId="77777777" w:rsidTr="005D4C91">
        <w:tc>
          <w:tcPr>
            <w:tcW w:w="9208" w:type="dxa"/>
          </w:tcPr>
          <w:p w14:paraId="4089C8AD" w14:textId="40ECE7AA" w:rsidR="0072427C" w:rsidRPr="00137976" w:rsidRDefault="00CC236A" w:rsidP="00137976">
            <w:pPr>
              <w:pStyle w:val="NUM1para"/>
              <w:numPr>
                <w:ilvl w:val="0"/>
                <w:numId w:val="0"/>
              </w:numPr>
              <w:ind w:right="172"/>
              <w:rPr>
                <w:rFonts w:ascii="Times New Roman" w:hAnsi="Times New Roman"/>
                <w:sz w:val="16"/>
                <w:szCs w:val="18"/>
              </w:rPr>
            </w:pPr>
            <w:r w:rsidRPr="00137976">
              <w:rPr>
                <w:rFonts w:ascii="Times New Roman" w:hAnsi="Times New Roman"/>
                <w:sz w:val="16"/>
                <w:szCs w:val="18"/>
              </w:rPr>
              <w:t>***</w:t>
            </w:r>
            <w:r w:rsidR="001069DD" w:rsidRPr="00137976">
              <w:rPr>
                <w:rFonts w:ascii="Times New Roman" w:hAnsi="Times New Roman"/>
                <w:sz w:val="16"/>
                <w:szCs w:val="18"/>
              </w:rPr>
              <w:t xml:space="preserve"> </w:t>
            </w:r>
            <w:r w:rsidRPr="00137976">
              <w:rPr>
                <w:rFonts w:ascii="Times New Roman" w:hAnsi="Times New Roman"/>
                <w:sz w:val="16"/>
                <w:szCs w:val="18"/>
              </w:rPr>
              <w:t>Decentralized staffing costs are not available for 2014; the figure ($1.31 million) therefore reflects only the budget for evaluations.</w:t>
            </w:r>
          </w:p>
        </w:tc>
      </w:tr>
      <w:tr w:rsidR="0072427C" w:rsidRPr="00137976" w14:paraId="2CBAF1EA" w14:textId="77777777" w:rsidTr="005D4C91">
        <w:tc>
          <w:tcPr>
            <w:tcW w:w="9208" w:type="dxa"/>
          </w:tcPr>
          <w:p w14:paraId="541E62A3" w14:textId="77777777" w:rsidR="0072427C" w:rsidRPr="00137976" w:rsidRDefault="0072427C" w:rsidP="0072427C">
            <w:pPr>
              <w:pStyle w:val="NUM1para"/>
              <w:numPr>
                <w:ilvl w:val="0"/>
                <w:numId w:val="0"/>
              </w:numPr>
              <w:rPr>
                <w:rFonts w:ascii="Times New Roman" w:hAnsi="Times New Roman"/>
                <w:sz w:val="16"/>
                <w:szCs w:val="16"/>
              </w:rPr>
            </w:pPr>
          </w:p>
        </w:tc>
      </w:tr>
    </w:tbl>
    <w:p w14:paraId="511E9A28" w14:textId="77777777" w:rsidR="005D4C91" w:rsidRPr="00FA65C1" w:rsidRDefault="005D4C91" w:rsidP="00D646AB">
      <w:pPr>
        <w:pStyle w:val="Headingitalics"/>
      </w:pPr>
      <w:r w:rsidRPr="00FA65C1">
        <w:t xml:space="preserve">Key performance indicator 2: human resources </w:t>
      </w:r>
    </w:p>
    <w:p w14:paraId="1E0CE187" w14:textId="15ACCF25" w:rsidR="005D4C91" w:rsidRPr="00FA65C1" w:rsidRDefault="005D4C91" w:rsidP="005D4C91">
      <w:pPr>
        <w:pStyle w:val="NUM1para"/>
      </w:pPr>
      <w:r w:rsidRPr="00FA65C1">
        <w:t>As of December 2017,</w:t>
      </w:r>
      <w:r w:rsidR="001069DD">
        <w:t xml:space="preserve"> </w:t>
      </w:r>
      <w:r w:rsidR="00EA38F6">
        <w:t xml:space="preserve">the </w:t>
      </w:r>
      <w:r w:rsidR="00EA38F6" w:rsidRPr="00EA38F6">
        <w:t>Evaluation Office</w:t>
      </w:r>
      <w:r w:rsidRPr="00EA38F6">
        <w:t xml:space="preserve"> </w:t>
      </w:r>
      <w:r w:rsidRPr="00FA65C1">
        <w:t xml:space="preserve">had eight approved posts: one at general service level, six at professional level and one at director level. </w:t>
      </w:r>
      <w:r w:rsidR="0057071F">
        <w:t xml:space="preserve">The Office in 2017 </w:t>
      </w:r>
      <w:r w:rsidR="0057071F" w:rsidRPr="0057071F">
        <w:t xml:space="preserve">recruited </w:t>
      </w:r>
      <w:r w:rsidR="0057071F">
        <w:t>a</w:t>
      </w:r>
      <w:r w:rsidRPr="00FA65C1">
        <w:t xml:space="preserve">n </w:t>
      </w:r>
      <w:r w:rsidR="001069DD">
        <w:t>e</w:t>
      </w:r>
      <w:r w:rsidRPr="00FA65C1">
        <w:t xml:space="preserve">valuation </w:t>
      </w:r>
      <w:r w:rsidR="001069DD">
        <w:t>a</w:t>
      </w:r>
      <w:r w:rsidRPr="00FA65C1">
        <w:t xml:space="preserve">nalyst and a </w:t>
      </w:r>
      <w:r w:rsidR="001069DD">
        <w:t>c</w:t>
      </w:r>
      <w:r w:rsidRPr="00FA65C1">
        <w:t xml:space="preserve">ommunications and </w:t>
      </w:r>
      <w:r w:rsidR="001069DD">
        <w:t>k</w:t>
      </w:r>
      <w:r w:rsidRPr="00FA65C1">
        <w:t xml:space="preserve">nowledge </w:t>
      </w:r>
      <w:r w:rsidR="001069DD">
        <w:t>m</w:t>
      </w:r>
      <w:r w:rsidRPr="00FA65C1">
        <w:t xml:space="preserve">anagement </w:t>
      </w:r>
      <w:r w:rsidR="001069DD">
        <w:t>s</w:t>
      </w:r>
      <w:r w:rsidRPr="00FA65C1">
        <w:t>pecialist</w:t>
      </w:r>
      <w:r w:rsidR="0057071F">
        <w:t>,</w:t>
      </w:r>
      <w:r w:rsidRPr="00FA65C1">
        <w:t xml:space="preserve"> </w:t>
      </w:r>
      <w:r w:rsidR="0057071F">
        <w:t>who</w:t>
      </w:r>
      <w:r w:rsidRPr="00FA65C1">
        <w:t xml:space="preserve"> joined</w:t>
      </w:r>
      <w:r w:rsidR="00EA38F6">
        <w:t xml:space="preserve"> </w:t>
      </w:r>
      <w:r w:rsidRPr="00FA65C1">
        <w:t xml:space="preserve">in February 2018; the former will provide support to corporate evaluations while the latter will focus on strengthening </w:t>
      </w:r>
      <w:r w:rsidR="00EA38F6">
        <w:t>its</w:t>
      </w:r>
      <w:r w:rsidRPr="00FA65C1">
        <w:t xml:space="preserve"> capabilities in communication and knowledge management systems. In addition to the posts, </w:t>
      </w:r>
      <w:r w:rsidR="00EA38F6">
        <w:t xml:space="preserve">the </w:t>
      </w:r>
      <w:r w:rsidR="00EA38F6" w:rsidRPr="00EA38F6">
        <w:t>Evaluation Office</w:t>
      </w:r>
      <w:r w:rsidRPr="00EA38F6">
        <w:t xml:space="preserve"> </w:t>
      </w:r>
      <w:r w:rsidRPr="00FA65C1">
        <w:t xml:space="preserve">benefited from a secondment (Sweden) and a junior professional officer (Switzerland) focused on evaluation capacity development. </w:t>
      </w:r>
    </w:p>
    <w:p w14:paraId="6F34A838" w14:textId="4AD82E84" w:rsidR="005D4C91" w:rsidRPr="00FA65C1" w:rsidRDefault="005D4C91" w:rsidP="005D4C91">
      <w:pPr>
        <w:pStyle w:val="NUM1para"/>
      </w:pPr>
      <w:r w:rsidRPr="00FA65C1">
        <w:t xml:space="preserve">At the decentralized regional level, the staffing profile remained the same as </w:t>
      </w:r>
      <w:r w:rsidR="0057071F">
        <w:t xml:space="preserve">in </w:t>
      </w:r>
      <w:r w:rsidRPr="00FA65C1">
        <w:t xml:space="preserve">previous years: UNFPA has six regional </w:t>
      </w:r>
      <w:r w:rsidR="00116250" w:rsidRPr="00116250">
        <w:t xml:space="preserve">monitoring and evaluation </w:t>
      </w:r>
      <w:r w:rsidRPr="00FA65C1">
        <w:t>advisors</w:t>
      </w:r>
      <w:r w:rsidR="0057071F">
        <w:t>;</w:t>
      </w:r>
      <w:r w:rsidRPr="00FA65C1">
        <w:t xml:space="preserve"> all posts were filled. </w:t>
      </w:r>
      <w:r w:rsidR="00116250">
        <w:t xml:space="preserve">Some </w:t>
      </w:r>
      <w:r w:rsidRPr="00FA65C1">
        <w:t xml:space="preserve">96.7 per cent of country offices were staffed with either a </w:t>
      </w:r>
      <w:r w:rsidR="00116250" w:rsidRPr="00116250">
        <w:t xml:space="preserve">monitoring and evaluation </w:t>
      </w:r>
      <w:r w:rsidRPr="00FA65C1">
        <w:t>officer (47</w:t>
      </w:r>
      <w:r w:rsidR="0057071F">
        <w:t> </w:t>
      </w:r>
      <w:r w:rsidR="00116250">
        <w:t>per cent</w:t>
      </w:r>
      <w:r w:rsidRPr="00FA65C1">
        <w:t xml:space="preserve"> of country offices) or a </w:t>
      </w:r>
      <w:r w:rsidR="00116250" w:rsidRPr="00116250">
        <w:t xml:space="preserve">monitoring and evaluation </w:t>
      </w:r>
      <w:r w:rsidRPr="00FA65C1">
        <w:t>focal point (49.5</w:t>
      </w:r>
      <w:r w:rsidR="0057071F">
        <w:t> </w:t>
      </w:r>
      <w:r w:rsidR="00116250">
        <w:t xml:space="preserve">per cent </w:t>
      </w:r>
      <w:r w:rsidRPr="00FA65C1">
        <w:t xml:space="preserve">of </w:t>
      </w:r>
      <w:r w:rsidRPr="00FA65C1">
        <w:lastRenderedPageBreak/>
        <w:t xml:space="preserve">country offices). The distribution shows that offices with a larger programme of work tend to have a dedicated </w:t>
      </w:r>
      <w:r w:rsidR="00116250" w:rsidRPr="00116250">
        <w:t xml:space="preserve">monitoring and evaluation </w:t>
      </w:r>
      <w:r w:rsidRPr="00FA65C1">
        <w:t xml:space="preserve">officer while </w:t>
      </w:r>
      <w:r w:rsidR="00116250" w:rsidRPr="00116250">
        <w:t xml:space="preserve">monitoring and evaluation </w:t>
      </w:r>
      <w:r w:rsidRPr="00FA65C1">
        <w:t xml:space="preserve">focal points are largely concentrated in country offices with </w:t>
      </w:r>
      <w:r w:rsidR="00116250">
        <w:t xml:space="preserve">a </w:t>
      </w:r>
      <w:r w:rsidRPr="00FA65C1">
        <w:t xml:space="preserve">relatively smaller portfolio. </w:t>
      </w:r>
    </w:p>
    <w:p w14:paraId="25F13643" w14:textId="3DD99439" w:rsidR="005D4C91" w:rsidRPr="00FA65C1" w:rsidRDefault="005D4C91" w:rsidP="005D4C91">
      <w:pPr>
        <w:pStyle w:val="FIGURE"/>
      </w:pPr>
      <w:r w:rsidRPr="00FA65C1">
        <w:rPr>
          <w:b w:val="0"/>
        </w:rPr>
        <w:t>Figure 1</w:t>
      </w:r>
      <w:r w:rsidRPr="00FA65C1">
        <w:br/>
        <w:t>Human resources for monitoring and evaluation, 2017, by region</w:t>
      </w: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3"/>
      </w:tblGrid>
      <w:tr w:rsidR="005D4C91" w:rsidRPr="00FA65C1" w14:paraId="1920D369" w14:textId="77777777" w:rsidTr="00BE1A26">
        <w:tc>
          <w:tcPr>
            <w:tcW w:w="8093" w:type="dxa"/>
          </w:tcPr>
          <w:p w14:paraId="090ED57D" w14:textId="50C66CD4" w:rsidR="005D4C91" w:rsidRPr="00FA65C1" w:rsidRDefault="005D4C91" w:rsidP="005D4C91">
            <w:pPr>
              <w:pStyle w:val="NUM1para"/>
              <w:numPr>
                <w:ilvl w:val="0"/>
                <w:numId w:val="0"/>
              </w:numPr>
            </w:pPr>
            <w:r w:rsidRPr="00FA65C1">
              <w:rPr>
                <w:noProof/>
                <w:lang w:eastAsia="en-GB"/>
              </w:rPr>
              <w:drawing>
                <wp:inline distT="0" distB="0" distL="0" distR="0" wp14:anchorId="56E5C02B" wp14:editId="728D22C8">
                  <wp:extent cx="5019675" cy="226318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8645" cy="2267226"/>
                          </a:xfrm>
                          <a:prstGeom prst="rect">
                            <a:avLst/>
                          </a:prstGeom>
                          <a:noFill/>
                        </pic:spPr>
                      </pic:pic>
                    </a:graphicData>
                  </a:graphic>
                </wp:inline>
              </w:drawing>
            </w:r>
          </w:p>
        </w:tc>
      </w:tr>
      <w:tr w:rsidR="005D4C91" w:rsidRPr="00137976" w14:paraId="125CCDF8" w14:textId="77777777" w:rsidTr="00BE1A26">
        <w:tc>
          <w:tcPr>
            <w:tcW w:w="8093" w:type="dxa"/>
          </w:tcPr>
          <w:p w14:paraId="1B5B2310" w14:textId="07C66ABB" w:rsidR="005D4C91" w:rsidRPr="00137976" w:rsidRDefault="005D4C91" w:rsidP="005D4C91">
            <w:pPr>
              <w:pStyle w:val="NUM1para"/>
              <w:numPr>
                <w:ilvl w:val="0"/>
                <w:numId w:val="0"/>
              </w:numPr>
              <w:rPr>
                <w:rFonts w:ascii="Times New Roman" w:hAnsi="Times New Roman"/>
                <w:sz w:val="16"/>
              </w:rPr>
            </w:pPr>
            <w:r w:rsidRPr="00137976">
              <w:rPr>
                <w:rFonts w:ascii="Times New Roman" w:hAnsi="Times New Roman"/>
                <w:i/>
                <w:sz w:val="16"/>
              </w:rPr>
              <w:t>Source</w:t>
            </w:r>
            <w:r w:rsidRPr="00137976">
              <w:rPr>
                <w:rFonts w:ascii="Times New Roman" w:hAnsi="Times New Roman"/>
                <w:sz w:val="16"/>
              </w:rPr>
              <w:t>: Evaluation Office</w:t>
            </w:r>
          </w:p>
        </w:tc>
      </w:tr>
      <w:tr w:rsidR="005D4C91" w:rsidRPr="00137976" w14:paraId="4529E65D" w14:textId="77777777" w:rsidTr="00BE1A26">
        <w:tc>
          <w:tcPr>
            <w:tcW w:w="8093" w:type="dxa"/>
          </w:tcPr>
          <w:p w14:paraId="0D565C91" w14:textId="18A3B9FB" w:rsidR="005D4C91" w:rsidRPr="00137976" w:rsidRDefault="005D4C91" w:rsidP="002114C5">
            <w:pPr>
              <w:pStyle w:val="NUM1para"/>
              <w:numPr>
                <w:ilvl w:val="0"/>
                <w:numId w:val="0"/>
              </w:numPr>
              <w:rPr>
                <w:rFonts w:ascii="Times New Roman" w:hAnsi="Times New Roman"/>
                <w:sz w:val="16"/>
              </w:rPr>
            </w:pPr>
            <w:r w:rsidRPr="00137976">
              <w:rPr>
                <w:rFonts w:ascii="Times New Roman" w:hAnsi="Times New Roman"/>
                <w:i/>
                <w:sz w:val="16"/>
              </w:rPr>
              <w:t>Abbreviation</w:t>
            </w:r>
            <w:r w:rsidRPr="00137976">
              <w:rPr>
                <w:rFonts w:ascii="Times New Roman" w:hAnsi="Times New Roman"/>
                <w:sz w:val="16"/>
              </w:rPr>
              <w:t>:</w:t>
            </w:r>
            <w:r w:rsidR="00116250" w:rsidRPr="00137976">
              <w:rPr>
                <w:rFonts w:ascii="Times New Roman" w:hAnsi="Times New Roman"/>
                <w:sz w:val="16"/>
              </w:rPr>
              <w:t xml:space="preserve"> </w:t>
            </w:r>
            <w:r w:rsidRPr="00137976">
              <w:rPr>
                <w:rFonts w:ascii="Times New Roman" w:hAnsi="Times New Roman"/>
                <w:sz w:val="16"/>
              </w:rPr>
              <w:t>M&amp;E: monitoring and evaluation</w:t>
            </w:r>
          </w:p>
        </w:tc>
      </w:tr>
      <w:tr w:rsidR="005D4C91" w:rsidRPr="00137976" w14:paraId="46AE0CAC" w14:textId="77777777" w:rsidTr="00BE1A26">
        <w:tc>
          <w:tcPr>
            <w:tcW w:w="8093" w:type="dxa"/>
          </w:tcPr>
          <w:p w14:paraId="737766C2" w14:textId="77777777" w:rsidR="005D4C91" w:rsidRPr="00137976" w:rsidRDefault="005D4C91" w:rsidP="005D4C91">
            <w:pPr>
              <w:pStyle w:val="NUM1para"/>
              <w:numPr>
                <w:ilvl w:val="0"/>
                <w:numId w:val="0"/>
              </w:numPr>
              <w:rPr>
                <w:sz w:val="16"/>
              </w:rPr>
            </w:pPr>
          </w:p>
        </w:tc>
      </w:tr>
    </w:tbl>
    <w:p w14:paraId="1DBE9227" w14:textId="325C306B" w:rsidR="00BE1A26" w:rsidRPr="00FA65C1" w:rsidRDefault="00BE1A26" w:rsidP="00D646AB">
      <w:pPr>
        <w:pStyle w:val="Headingitalics"/>
      </w:pPr>
      <w:r w:rsidRPr="00FA65C1">
        <w:t>Key performance indicator 3: covera</w:t>
      </w:r>
      <w:r w:rsidR="00706838">
        <w:t>ge of decentralized evaluations</w:t>
      </w:r>
    </w:p>
    <w:p w14:paraId="32F99A4A" w14:textId="4D6F1892" w:rsidR="00BE1A26" w:rsidRPr="00FA65C1" w:rsidRDefault="00BE1A26" w:rsidP="00BE1A26">
      <w:pPr>
        <w:pStyle w:val="NUM1para"/>
      </w:pPr>
      <w:r w:rsidRPr="00FA65C1">
        <w:t xml:space="preserve">The evaluation policy states that country offices should manage a country programme evaluation at least </w:t>
      </w:r>
      <w:r w:rsidR="00706838" w:rsidRPr="00706838">
        <w:t xml:space="preserve">once </w:t>
      </w:r>
      <w:r w:rsidRPr="00FA65C1">
        <w:t xml:space="preserve">every two cycles. </w:t>
      </w:r>
      <w:r w:rsidR="002114C5">
        <w:t>Previously</w:t>
      </w:r>
      <w:r w:rsidRPr="00FA65C1">
        <w:t>, compliance to this commitment was not monitored. To address this gap,</w:t>
      </w:r>
      <w:r w:rsidR="00EA38F6">
        <w:t xml:space="preserve"> the </w:t>
      </w:r>
      <w:r w:rsidR="00EA38F6" w:rsidRPr="00EA38F6">
        <w:t>Evaluation Office</w:t>
      </w:r>
      <w:r w:rsidRPr="00EA38F6">
        <w:t xml:space="preserve"> </w:t>
      </w:r>
      <w:r w:rsidRPr="00FA65C1">
        <w:t>developed the new indicator “percentage of country offices that have conducted at least one country programme evaluation over the last eight-year period”.</w:t>
      </w:r>
    </w:p>
    <w:p w14:paraId="2CA0E499" w14:textId="17634E1D" w:rsidR="00BE1A26" w:rsidRPr="00FA65C1" w:rsidRDefault="002114C5" w:rsidP="00BE1A26">
      <w:pPr>
        <w:pStyle w:val="NUM1para"/>
      </w:pPr>
      <w:r>
        <w:t>Currently</w:t>
      </w:r>
      <w:r w:rsidR="00BE1A26" w:rsidRPr="00FA65C1">
        <w:t>, 90 country office</w:t>
      </w:r>
      <w:r>
        <w:t>s</w:t>
      </w:r>
      <w:r w:rsidR="00BE1A26" w:rsidRPr="00FA65C1">
        <w:t xml:space="preserve"> (80 per cent) have completed</w:t>
      </w:r>
      <w:r w:rsidR="00706838">
        <w:t>,</w:t>
      </w:r>
      <w:r w:rsidR="00BE1A26" w:rsidRPr="00FA65C1">
        <w:t xml:space="preserve"> or are scheduled to complete, at least one country programme evaluation over the last eight years</w:t>
      </w:r>
      <w:r>
        <w:t>, while 23</w:t>
      </w:r>
      <w:r w:rsidR="00BE1A26" w:rsidRPr="00FA65C1">
        <w:t xml:space="preserve"> offices (20 per cent) have not conducted any evaluation during 2011-2018. The Arab States (92 per cent coverage) and Asia and Pacific (91 per cent coverage) are the regions with the highest level of coverage. Security </w:t>
      </w:r>
      <w:r w:rsidR="00706838">
        <w:t xml:space="preserve">concerns, </w:t>
      </w:r>
      <w:r w:rsidR="00BE1A26" w:rsidRPr="00FA65C1">
        <w:t xml:space="preserve">humanitarian situations and limited capacity to manage evaluations in smaller country offices with fewer staff and lower levels of funding </w:t>
      </w:r>
      <w:r w:rsidR="00706838">
        <w:t xml:space="preserve">have </w:t>
      </w:r>
      <w:r w:rsidR="00BE1A26" w:rsidRPr="00FA65C1">
        <w:t xml:space="preserve">eroded full coverage. </w:t>
      </w:r>
      <w:r w:rsidR="00706838">
        <w:t>Conversely</w:t>
      </w:r>
      <w:r w:rsidR="00BE1A26" w:rsidRPr="00FA65C1">
        <w:t xml:space="preserve">, buy-in and commitment of country representatives and the presence of a trained </w:t>
      </w:r>
      <w:r w:rsidR="00116250" w:rsidRPr="00116250">
        <w:t>monitoring and evaluation</w:t>
      </w:r>
      <w:r w:rsidR="00BE1A26" w:rsidRPr="00116250">
        <w:t xml:space="preserve"> </w:t>
      </w:r>
      <w:r w:rsidR="00BE1A26" w:rsidRPr="00FA65C1">
        <w:t xml:space="preserve">officer in the country office are principal factors for </w:t>
      </w:r>
      <w:r w:rsidR="00E96F04">
        <w:t xml:space="preserve">an </w:t>
      </w:r>
      <w:r w:rsidR="00BE1A26" w:rsidRPr="00FA65C1">
        <w:t>increas</w:t>
      </w:r>
      <w:r w:rsidR="00E96F04">
        <w:t>e in</w:t>
      </w:r>
      <w:r w:rsidR="00BE1A26" w:rsidRPr="00FA65C1">
        <w:t xml:space="preserve"> demand for evaluations. </w:t>
      </w:r>
    </w:p>
    <w:p w14:paraId="7B24A09A" w14:textId="725B5FBB" w:rsidR="00BE1A26" w:rsidRPr="00FA65C1" w:rsidRDefault="00BE1A26" w:rsidP="00BE1A26">
      <w:pPr>
        <w:pStyle w:val="FIGURE"/>
      </w:pPr>
      <w:r w:rsidRPr="00FA65C1">
        <w:rPr>
          <w:b w:val="0"/>
        </w:rPr>
        <w:lastRenderedPageBreak/>
        <w:t>Figure 2</w:t>
      </w:r>
      <w:r w:rsidRPr="00FA65C1">
        <w:br/>
        <w:t>Evaluation coverage by region, 2011-2018 (*)</w:t>
      </w: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3"/>
      </w:tblGrid>
      <w:tr w:rsidR="00BE1A26" w:rsidRPr="00FA65C1" w14:paraId="489CCA32" w14:textId="77777777" w:rsidTr="00621A9F">
        <w:tc>
          <w:tcPr>
            <w:tcW w:w="8093" w:type="dxa"/>
          </w:tcPr>
          <w:p w14:paraId="158C7623" w14:textId="3BEB8CF8" w:rsidR="00BE1A26" w:rsidRPr="00FA65C1" w:rsidRDefault="00BE1A26" w:rsidP="00BE1A26">
            <w:pPr>
              <w:pStyle w:val="NUM1para"/>
              <w:numPr>
                <w:ilvl w:val="0"/>
                <w:numId w:val="0"/>
              </w:numPr>
            </w:pPr>
            <w:r w:rsidRPr="00FA65C1">
              <w:rPr>
                <w:noProof/>
                <w:lang w:eastAsia="en-GB"/>
              </w:rPr>
              <w:drawing>
                <wp:inline distT="0" distB="0" distL="0" distR="0" wp14:anchorId="6B9C5751" wp14:editId="0320DBDC">
                  <wp:extent cx="4953000" cy="33910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205" cy="3397384"/>
                          </a:xfrm>
                          <a:prstGeom prst="rect">
                            <a:avLst/>
                          </a:prstGeom>
                          <a:noFill/>
                        </pic:spPr>
                      </pic:pic>
                    </a:graphicData>
                  </a:graphic>
                </wp:inline>
              </w:drawing>
            </w:r>
          </w:p>
        </w:tc>
      </w:tr>
      <w:tr w:rsidR="00BE1A26" w:rsidRPr="00137976" w14:paraId="72361917" w14:textId="77777777" w:rsidTr="00621A9F">
        <w:tc>
          <w:tcPr>
            <w:tcW w:w="8093" w:type="dxa"/>
          </w:tcPr>
          <w:p w14:paraId="4205C3D2" w14:textId="45F910DD" w:rsidR="00BE1A26" w:rsidRPr="00137976" w:rsidRDefault="00BE1A26" w:rsidP="00BB5F5E">
            <w:pPr>
              <w:pStyle w:val="ListNumber"/>
              <w:numPr>
                <w:ilvl w:val="0"/>
                <w:numId w:val="0"/>
              </w:numPr>
              <w:spacing w:before="120" w:after="120"/>
              <w:ind w:left="357" w:hanging="357"/>
              <w:contextualSpacing w:val="0"/>
              <w:rPr>
                <w:rFonts w:ascii="Times New Roman" w:hAnsi="Times New Roman"/>
                <w:sz w:val="16"/>
                <w:szCs w:val="18"/>
              </w:rPr>
            </w:pPr>
            <w:r w:rsidRPr="00137976">
              <w:rPr>
                <w:rFonts w:ascii="Times New Roman" w:hAnsi="Times New Roman"/>
                <w:sz w:val="16"/>
                <w:szCs w:val="18"/>
              </w:rPr>
              <w:t xml:space="preserve">Source: UNFPA evaluation database and UNFPA regional </w:t>
            </w:r>
            <w:r w:rsidR="00116250" w:rsidRPr="00137976">
              <w:rPr>
                <w:rFonts w:ascii="Times New Roman" w:hAnsi="Times New Roman"/>
                <w:sz w:val="16"/>
                <w:szCs w:val="18"/>
              </w:rPr>
              <w:t>monitoring and evaluation</w:t>
            </w:r>
            <w:r w:rsidRPr="00137976">
              <w:rPr>
                <w:rFonts w:ascii="Times New Roman" w:hAnsi="Times New Roman"/>
                <w:sz w:val="16"/>
                <w:szCs w:val="18"/>
              </w:rPr>
              <w:t xml:space="preserve"> advisors</w:t>
            </w:r>
          </w:p>
        </w:tc>
      </w:tr>
      <w:tr w:rsidR="00BE1A26" w:rsidRPr="00137976" w14:paraId="247AB02F" w14:textId="77777777" w:rsidTr="00621A9F">
        <w:tc>
          <w:tcPr>
            <w:tcW w:w="8093" w:type="dxa"/>
          </w:tcPr>
          <w:p w14:paraId="206D8457" w14:textId="7FE414A9" w:rsidR="00BE1A26" w:rsidRPr="00137976" w:rsidRDefault="00BE1A26" w:rsidP="00E96F04">
            <w:pPr>
              <w:pStyle w:val="NUM1para"/>
              <w:numPr>
                <w:ilvl w:val="0"/>
                <w:numId w:val="0"/>
              </w:numPr>
              <w:ind w:right="169"/>
              <w:rPr>
                <w:rFonts w:ascii="Times New Roman" w:hAnsi="Times New Roman"/>
                <w:sz w:val="16"/>
              </w:rPr>
            </w:pPr>
            <w:r w:rsidRPr="00137976">
              <w:rPr>
                <w:rFonts w:ascii="Times New Roman" w:hAnsi="Times New Roman"/>
                <w:iCs/>
                <w:sz w:val="16"/>
              </w:rPr>
              <w:t xml:space="preserve">(*) </w:t>
            </w:r>
            <w:r w:rsidRPr="00137976">
              <w:rPr>
                <w:rFonts w:ascii="Times New Roman" w:hAnsi="Times New Roman"/>
                <w:i/>
                <w:iCs/>
                <w:sz w:val="16"/>
              </w:rPr>
              <w:t>Not</w:t>
            </w:r>
            <w:r w:rsidR="00E96F04" w:rsidRPr="00137976">
              <w:rPr>
                <w:rFonts w:ascii="Times New Roman" w:hAnsi="Times New Roman"/>
                <w:i/>
                <w:iCs/>
                <w:sz w:val="16"/>
              </w:rPr>
              <w:t>e</w:t>
            </w:r>
            <w:r w:rsidRPr="00137976">
              <w:rPr>
                <w:rFonts w:ascii="Times New Roman" w:hAnsi="Times New Roman"/>
                <w:iCs/>
                <w:sz w:val="16"/>
              </w:rPr>
              <w:t>: programme cycles at UNFPA vary in duration</w:t>
            </w:r>
            <w:r w:rsidR="00BB5F5E" w:rsidRPr="00137976">
              <w:rPr>
                <w:rFonts w:ascii="Times New Roman" w:hAnsi="Times New Roman"/>
                <w:iCs/>
                <w:sz w:val="16"/>
              </w:rPr>
              <w:t>,</w:t>
            </w:r>
            <w:r w:rsidRPr="00137976">
              <w:rPr>
                <w:rFonts w:ascii="Times New Roman" w:hAnsi="Times New Roman"/>
                <w:iCs/>
                <w:sz w:val="16"/>
              </w:rPr>
              <w:t xml:space="preserve"> and </w:t>
            </w:r>
            <w:r w:rsidR="00E96F04" w:rsidRPr="00137976">
              <w:rPr>
                <w:rFonts w:ascii="Times New Roman" w:hAnsi="Times New Roman"/>
                <w:iCs/>
                <w:sz w:val="16"/>
              </w:rPr>
              <w:t xml:space="preserve">these </w:t>
            </w:r>
            <w:r w:rsidRPr="00137976">
              <w:rPr>
                <w:rFonts w:ascii="Times New Roman" w:hAnsi="Times New Roman"/>
                <w:iCs/>
                <w:sz w:val="16"/>
              </w:rPr>
              <w:t>can be extended. Methodologically,</w:t>
            </w:r>
            <w:r w:rsidR="00EA38F6" w:rsidRPr="00137976">
              <w:rPr>
                <w:rFonts w:ascii="Times New Roman" w:hAnsi="Times New Roman"/>
                <w:iCs/>
                <w:sz w:val="16"/>
              </w:rPr>
              <w:t xml:space="preserve"> the Evaluation Office</w:t>
            </w:r>
            <w:r w:rsidRPr="00137976">
              <w:rPr>
                <w:rFonts w:ascii="Times New Roman" w:hAnsi="Times New Roman"/>
                <w:iCs/>
                <w:sz w:val="16"/>
              </w:rPr>
              <w:t xml:space="preserve"> </w:t>
            </w:r>
            <w:r w:rsidR="00E96F04" w:rsidRPr="00137976">
              <w:rPr>
                <w:rFonts w:ascii="Times New Roman" w:hAnsi="Times New Roman"/>
                <w:iCs/>
                <w:sz w:val="16"/>
              </w:rPr>
              <w:t>assumed</w:t>
            </w:r>
            <w:r w:rsidRPr="00137976">
              <w:rPr>
                <w:rFonts w:ascii="Times New Roman" w:hAnsi="Times New Roman"/>
                <w:iCs/>
                <w:sz w:val="16"/>
              </w:rPr>
              <w:t xml:space="preserve"> four</w:t>
            </w:r>
            <w:r w:rsidR="00E96F04" w:rsidRPr="00137976">
              <w:rPr>
                <w:rFonts w:ascii="Times New Roman" w:hAnsi="Times New Roman"/>
                <w:iCs/>
                <w:sz w:val="16"/>
              </w:rPr>
              <w:t xml:space="preserve"> </w:t>
            </w:r>
            <w:r w:rsidRPr="00137976">
              <w:rPr>
                <w:rFonts w:ascii="Times New Roman" w:hAnsi="Times New Roman"/>
                <w:iCs/>
                <w:sz w:val="16"/>
              </w:rPr>
              <w:t>year</w:t>
            </w:r>
            <w:r w:rsidR="00E96F04" w:rsidRPr="00137976">
              <w:rPr>
                <w:rFonts w:ascii="Times New Roman" w:hAnsi="Times New Roman"/>
                <w:iCs/>
                <w:sz w:val="16"/>
              </w:rPr>
              <w:t>s</w:t>
            </w:r>
            <w:r w:rsidRPr="00137976">
              <w:rPr>
                <w:rFonts w:ascii="Times New Roman" w:hAnsi="Times New Roman"/>
                <w:iCs/>
                <w:sz w:val="16"/>
              </w:rPr>
              <w:t xml:space="preserve"> as the average length of a country programme. However, it is not </w:t>
            </w:r>
            <w:r w:rsidR="005900E4" w:rsidRPr="00137976">
              <w:rPr>
                <w:rFonts w:ascii="Times New Roman" w:hAnsi="Times New Roman"/>
                <w:iCs/>
                <w:sz w:val="16"/>
              </w:rPr>
              <w:t>unusual</w:t>
            </w:r>
            <w:r w:rsidRPr="00137976">
              <w:rPr>
                <w:rFonts w:ascii="Times New Roman" w:hAnsi="Times New Roman"/>
                <w:iCs/>
                <w:sz w:val="16"/>
              </w:rPr>
              <w:t xml:space="preserve"> </w:t>
            </w:r>
            <w:r w:rsidR="00E96F04" w:rsidRPr="00137976">
              <w:rPr>
                <w:rFonts w:ascii="Times New Roman" w:hAnsi="Times New Roman"/>
                <w:iCs/>
                <w:sz w:val="16"/>
              </w:rPr>
              <w:t xml:space="preserve">for </w:t>
            </w:r>
            <w:r w:rsidRPr="00137976">
              <w:rPr>
                <w:rFonts w:ascii="Times New Roman" w:hAnsi="Times New Roman"/>
                <w:iCs/>
                <w:sz w:val="16"/>
              </w:rPr>
              <w:t xml:space="preserve">cycles </w:t>
            </w:r>
            <w:r w:rsidR="00E96F04" w:rsidRPr="00137976">
              <w:rPr>
                <w:rFonts w:ascii="Times New Roman" w:hAnsi="Times New Roman"/>
                <w:iCs/>
                <w:sz w:val="16"/>
              </w:rPr>
              <w:t>to be</w:t>
            </w:r>
            <w:r w:rsidRPr="00137976">
              <w:rPr>
                <w:rFonts w:ascii="Times New Roman" w:hAnsi="Times New Roman"/>
                <w:iCs/>
                <w:sz w:val="16"/>
              </w:rPr>
              <w:t xml:space="preserve"> extended. Hence, a country that has not conducted a </w:t>
            </w:r>
            <w:r w:rsidR="00E96F04" w:rsidRPr="00137976">
              <w:rPr>
                <w:rFonts w:ascii="Times New Roman" w:hAnsi="Times New Roman"/>
                <w:iCs/>
                <w:sz w:val="16"/>
              </w:rPr>
              <w:t>country programme evaluation</w:t>
            </w:r>
            <w:r w:rsidRPr="00137976">
              <w:rPr>
                <w:rFonts w:ascii="Times New Roman" w:hAnsi="Times New Roman"/>
                <w:iCs/>
                <w:sz w:val="16"/>
              </w:rPr>
              <w:t xml:space="preserve"> over a period of eight years can abide by the evaluation policy in the event that the programme cycle is of a longer duration than </w:t>
            </w:r>
            <w:r w:rsidR="00E96F04" w:rsidRPr="00137976">
              <w:rPr>
                <w:rFonts w:ascii="Times New Roman" w:hAnsi="Times New Roman"/>
                <w:iCs/>
                <w:sz w:val="16"/>
              </w:rPr>
              <w:t>four</w:t>
            </w:r>
            <w:r w:rsidRPr="00137976">
              <w:rPr>
                <w:rFonts w:ascii="Times New Roman" w:hAnsi="Times New Roman"/>
                <w:iCs/>
                <w:sz w:val="16"/>
              </w:rPr>
              <w:t xml:space="preserve"> years.</w:t>
            </w:r>
          </w:p>
        </w:tc>
      </w:tr>
      <w:tr w:rsidR="00BE1A26" w:rsidRPr="00137976" w14:paraId="6B4420AC" w14:textId="77777777" w:rsidTr="00621A9F">
        <w:tc>
          <w:tcPr>
            <w:tcW w:w="8093" w:type="dxa"/>
          </w:tcPr>
          <w:p w14:paraId="11C5C5DB" w14:textId="77777777" w:rsidR="00BE1A26" w:rsidRPr="00137976" w:rsidRDefault="00BE1A26" w:rsidP="00BE1A26">
            <w:pPr>
              <w:pStyle w:val="NUM1para"/>
              <w:numPr>
                <w:ilvl w:val="0"/>
                <w:numId w:val="0"/>
              </w:numPr>
              <w:rPr>
                <w:rFonts w:ascii="Times New Roman" w:hAnsi="Times New Roman"/>
                <w:sz w:val="16"/>
              </w:rPr>
            </w:pPr>
          </w:p>
        </w:tc>
      </w:tr>
    </w:tbl>
    <w:p w14:paraId="7FBBCBBB" w14:textId="77777777" w:rsidR="00621A9F" w:rsidRPr="00FA65C1" w:rsidRDefault="00621A9F" w:rsidP="00D646AB">
      <w:pPr>
        <w:pStyle w:val="Headingitalics"/>
      </w:pPr>
      <w:r w:rsidRPr="00FA65C1">
        <w:t xml:space="preserve">Key performance indicator 4: implementation rate of planned evaluations </w:t>
      </w:r>
    </w:p>
    <w:p w14:paraId="6283BD57" w14:textId="5E2C2D35" w:rsidR="00621A9F" w:rsidRPr="00FA65C1" w:rsidRDefault="00621A9F" w:rsidP="00621A9F">
      <w:pPr>
        <w:pStyle w:val="NUM1para"/>
      </w:pPr>
      <w:r w:rsidRPr="00FA65C1">
        <w:t>In previous years, the annual report captured the implementation rate of decentralized programme</w:t>
      </w:r>
      <w:r w:rsidR="00E96F04">
        <w:t>-</w:t>
      </w:r>
      <w:r w:rsidRPr="00FA65C1">
        <w:t xml:space="preserve">level evaluations separately from that of corporate evaluations. To align with the evaluation indicator in the UNFPA </w:t>
      </w:r>
      <w:r w:rsidR="00E96F04">
        <w:t>s</w:t>
      </w:r>
      <w:r w:rsidRPr="00FA65C1">
        <w:t xml:space="preserve">trategic </w:t>
      </w:r>
      <w:r w:rsidR="00E96F04">
        <w:t>p</w:t>
      </w:r>
      <w:r w:rsidRPr="00FA65C1">
        <w:t>lan</w:t>
      </w:r>
      <w:r w:rsidR="00E96F04">
        <w:t>,</w:t>
      </w:r>
      <w:r w:rsidRPr="00FA65C1">
        <w:t xml:space="preserve"> 2018-2021 – which tracks the percentage of corporate and decentralized evaluations completed as planned –</w:t>
      </w:r>
      <w:r w:rsidR="00E96F04">
        <w:t xml:space="preserve"> the Evaluation Office </w:t>
      </w:r>
      <w:r w:rsidRPr="00FA65C1">
        <w:t xml:space="preserve">will now report on the total implementation rate, that is, </w:t>
      </w:r>
      <w:r w:rsidR="00E96F04">
        <w:t xml:space="preserve">the </w:t>
      </w:r>
      <w:r w:rsidRPr="00FA65C1">
        <w:t xml:space="preserve">aggregate </w:t>
      </w:r>
      <w:r w:rsidR="00380676">
        <w:t xml:space="preserve">of </w:t>
      </w:r>
      <w:r w:rsidRPr="00FA65C1">
        <w:t>decentralized programme</w:t>
      </w:r>
      <w:r w:rsidR="00E96F04">
        <w:t>-</w:t>
      </w:r>
      <w:r w:rsidRPr="00FA65C1">
        <w:t>level evaluations and corporate evaluations.</w:t>
      </w:r>
    </w:p>
    <w:p w14:paraId="7303AEE9" w14:textId="29F06E1E" w:rsidR="00621A9F" w:rsidRPr="00FA65C1" w:rsidRDefault="00621A9F" w:rsidP="00621A9F">
      <w:pPr>
        <w:pStyle w:val="NUM1para"/>
      </w:pPr>
      <w:r w:rsidRPr="00FA65C1">
        <w:t xml:space="preserve"> Overall, </w:t>
      </w:r>
      <w:r w:rsidR="00380676">
        <w:t xml:space="preserve">the </w:t>
      </w:r>
      <w:r w:rsidRPr="00FA65C1">
        <w:t>implementation of planned evaluations should be strengthened. In 2017, 55</w:t>
      </w:r>
      <w:r w:rsidR="00380676">
        <w:t> </w:t>
      </w:r>
      <w:r w:rsidRPr="00FA65C1">
        <w:t>per cent (12 of 22 evaluations) were implemented, a slight decrease</w:t>
      </w:r>
      <w:r w:rsidR="00380676">
        <w:t>,</w:t>
      </w:r>
      <w:r w:rsidRPr="00FA65C1">
        <w:t xml:space="preserve"> compared to 2016 (where 25 of 42 evaluations, or 60 per cent</w:t>
      </w:r>
      <w:r w:rsidR="00380676">
        <w:t>,</w:t>
      </w:r>
      <w:r w:rsidRPr="00FA65C1">
        <w:t xml:space="preserve"> were implemented</w:t>
      </w:r>
      <w:r w:rsidR="00380676">
        <w:t>)</w:t>
      </w:r>
      <w:r w:rsidRPr="00FA65C1">
        <w:t>. All but one of the cancellations occurred at the decentralized programme level, with a significant proportion at regional level</w:t>
      </w:r>
      <w:r w:rsidR="00380676">
        <w:t>s</w:t>
      </w:r>
      <w:r w:rsidRPr="00FA65C1">
        <w:t>.</w:t>
      </w:r>
    </w:p>
    <w:p w14:paraId="6F5A0798" w14:textId="758283FC" w:rsidR="00621A9F" w:rsidRPr="00FA65C1" w:rsidRDefault="00621A9F" w:rsidP="00621A9F">
      <w:pPr>
        <w:pStyle w:val="NUM1para"/>
      </w:pPr>
      <w:r w:rsidRPr="00FA65C1">
        <w:t>However, a number of cancellations or postponement</w:t>
      </w:r>
      <w:r w:rsidR="00380676">
        <w:t>s</w:t>
      </w:r>
      <w:r w:rsidRPr="00FA65C1">
        <w:t xml:space="preserve"> have valid programmatic reason</w:t>
      </w:r>
      <w:r w:rsidR="00380676">
        <w:t>s</w:t>
      </w:r>
      <w:r w:rsidRPr="00FA65C1">
        <w:t xml:space="preserve">. For example, one country programme evaluation (4 per cent) was replaced with an evaluation </w:t>
      </w:r>
      <w:r w:rsidR="000E51DC">
        <w:t xml:space="preserve">on the </w:t>
      </w:r>
      <w:r w:rsidR="000E51DC" w:rsidRPr="000E51DC">
        <w:t>United Nations Development Assistance Framework (</w:t>
      </w:r>
      <w:r w:rsidR="000E51DC" w:rsidRPr="000E51DC">
        <w:rPr>
          <w:bCs/>
        </w:rPr>
        <w:t>UNDAF</w:t>
      </w:r>
      <w:r w:rsidR="000E51DC" w:rsidRPr="000E51DC">
        <w:t xml:space="preserve">) </w:t>
      </w:r>
      <w:r w:rsidRPr="000E51DC">
        <w:t>(</w:t>
      </w:r>
      <w:r w:rsidRPr="00FA65C1">
        <w:t>Rwanda), while another was postponed to accommodate an extension in the country programme (Mexico).</w:t>
      </w:r>
      <w:r w:rsidR="00EB76BD">
        <w:t xml:space="preserve"> </w:t>
      </w:r>
      <w:r w:rsidRPr="00FA65C1">
        <w:t>Additionally, one country programme evaluation</w:t>
      </w:r>
      <w:r w:rsidR="00380676">
        <w:t>,</w:t>
      </w:r>
      <w:r w:rsidRPr="00FA65C1">
        <w:t xml:space="preserve"> originally planned for 2019</w:t>
      </w:r>
      <w:r w:rsidR="00380676">
        <w:t>,</w:t>
      </w:r>
      <w:r w:rsidRPr="00FA65C1">
        <w:t xml:space="preserve"> was conducted</w:t>
      </w:r>
      <w:r w:rsidR="00380676">
        <w:t xml:space="preserve"> earlier at the request of the G</w:t>
      </w:r>
      <w:r w:rsidRPr="00FA65C1">
        <w:t>overnment (Malawi) and another (Philippines), originally planned for 2016, was postponed to 2017.</w:t>
      </w:r>
    </w:p>
    <w:p w14:paraId="6BE2423C" w14:textId="7C627411" w:rsidR="00621A9F" w:rsidRPr="00FA65C1" w:rsidRDefault="00621A9F" w:rsidP="00621A9F">
      <w:pPr>
        <w:pStyle w:val="NUM1para"/>
      </w:pPr>
      <w:r w:rsidRPr="00FA65C1">
        <w:lastRenderedPageBreak/>
        <w:t>Of the 36 per cent (or eight of 22</w:t>
      </w:r>
      <w:r w:rsidR="00380676">
        <w:t xml:space="preserve"> </w:t>
      </w:r>
      <w:r w:rsidR="00380676" w:rsidRPr="00380676">
        <w:t>evaluations</w:t>
      </w:r>
      <w:r w:rsidRPr="00380676">
        <w:t>)</w:t>
      </w:r>
      <w:r w:rsidRPr="00FA65C1">
        <w:t xml:space="preserve"> cancelled without a valid programmatic reason, the primary causes was financial and human resources constraints. However, three of the eight were replaced by an assessment or survey, while the remaining five were not. The majority of cancellations occurred at the regional level. While cancellations are, at times, beyond the control of country and regional offices, greater attention to implementation continues to be required. Additional details on cancelled decentralized programme-level evaluations are available in annex 2. </w:t>
      </w:r>
    </w:p>
    <w:p w14:paraId="6213E6EA" w14:textId="1DFB3150" w:rsidR="00621A9F" w:rsidRPr="00FA65C1" w:rsidRDefault="00621A9F" w:rsidP="00621A9F">
      <w:pPr>
        <w:pStyle w:val="NUM1para"/>
      </w:pPr>
      <w:r w:rsidRPr="00FA65C1">
        <w:t>To enhance UNFPA capabilities in implementing scheduled decentralized evalua</w:t>
      </w:r>
      <w:r w:rsidR="00950FC5">
        <w:t xml:space="preserve">tions in an effective manner, the </w:t>
      </w:r>
      <w:r w:rsidR="00950FC5" w:rsidRPr="00950FC5">
        <w:t>Evaluation Office</w:t>
      </w:r>
      <w:r w:rsidRPr="00950FC5">
        <w:t xml:space="preserve"> </w:t>
      </w:r>
      <w:r w:rsidRPr="00FA65C1">
        <w:t>is exploring</w:t>
      </w:r>
      <w:r w:rsidR="00B35B95">
        <w:t>,</w:t>
      </w:r>
      <w:r w:rsidRPr="00FA65C1">
        <w:t xml:space="preserve"> </w:t>
      </w:r>
      <w:r w:rsidR="00B35B95">
        <w:t xml:space="preserve">together </w:t>
      </w:r>
      <w:r w:rsidRPr="00FA65C1">
        <w:t xml:space="preserve">with </w:t>
      </w:r>
      <w:r w:rsidR="00B35B95">
        <w:t xml:space="preserve">the </w:t>
      </w:r>
      <w:r w:rsidRPr="00FA65C1">
        <w:t xml:space="preserve">Programme Division and </w:t>
      </w:r>
      <w:r w:rsidR="00B35B95">
        <w:t xml:space="preserve">the </w:t>
      </w:r>
      <w:r w:rsidRPr="00FA65C1">
        <w:t>Huma</w:t>
      </w:r>
      <w:r w:rsidR="00B35B95">
        <w:t>n Resources Division,</w:t>
      </w:r>
      <w:r w:rsidRPr="00FA65C1">
        <w:t xml:space="preserve"> strategies to secure financial and human resources for field offices. </w:t>
      </w:r>
      <w:r w:rsidR="00950FC5">
        <w:t xml:space="preserve">The </w:t>
      </w:r>
      <w:r w:rsidR="00950FC5" w:rsidRPr="00950FC5">
        <w:t>Evaluation Office</w:t>
      </w:r>
      <w:r w:rsidRPr="00950FC5">
        <w:t xml:space="preserve"> </w:t>
      </w:r>
      <w:r w:rsidRPr="00FA65C1">
        <w:t xml:space="preserve">will report in </w:t>
      </w:r>
      <w:r w:rsidR="00B35B95">
        <w:t>its</w:t>
      </w:r>
      <w:r w:rsidRPr="00FA65C1">
        <w:t xml:space="preserve"> </w:t>
      </w:r>
      <w:r w:rsidR="00B35B95">
        <w:t xml:space="preserve">next </w:t>
      </w:r>
      <w:r w:rsidRPr="00FA65C1">
        <w:t xml:space="preserve">annual report </w:t>
      </w:r>
      <w:r w:rsidR="00B35B95">
        <w:t xml:space="preserve">(in 2019) </w:t>
      </w:r>
      <w:r w:rsidRPr="00FA65C1">
        <w:t>on the outcomes of the above</w:t>
      </w:r>
      <w:r w:rsidR="00B35B95">
        <w:t>-</w:t>
      </w:r>
      <w:r w:rsidRPr="00FA65C1">
        <w:t xml:space="preserve">mentioned strategies. </w:t>
      </w:r>
    </w:p>
    <w:p w14:paraId="66E6D5AC" w14:textId="138DBBDC" w:rsidR="00621A9F" w:rsidRPr="00FA65C1" w:rsidRDefault="00621A9F" w:rsidP="00621A9F">
      <w:pPr>
        <w:pStyle w:val="FIGURE"/>
      </w:pPr>
      <w:r w:rsidRPr="00FA65C1">
        <w:rPr>
          <w:b w:val="0"/>
        </w:rPr>
        <w:t>Figure 3</w:t>
      </w:r>
      <w:r w:rsidRPr="00FA65C1">
        <w:br/>
        <w:t xml:space="preserve">Implementation </w:t>
      </w:r>
      <w:r w:rsidR="00950FC5">
        <w:t>r</w:t>
      </w:r>
      <w:r w:rsidRPr="00FA65C1">
        <w:t xml:space="preserve">ate of </w:t>
      </w:r>
      <w:r w:rsidR="00950FC5">
        <w:t>e</w:t>
      </w:r>
      <w:r w:rsidRPr="00FA65C1">
        <w:t>valuations, 2017</w:t>
      </w: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3"/>
      </w:tblGrid>
      <w:tr w:rsidR="00621A9F" w:rsidRPr="00FA65C1" w14:paraId="67D4B674" w14:textId="77777777" w:rsidTr="00621A9F">
        <w:tc>
          <w:tcPr>
            <w:tcW w:w="8093" w:type="dxa"/>
          </w:tcPr>
          <w:p w14:paraId="10B76CC7" w14:textId="4ADF4F36" w:rsidR="00621A9F" w:rsidRPr="00FA65C1" w:rsidRDefault="00621A9F" w:rsidP="00621A9F">
            <w:pPr>
              <w:pStyle w:val="NUM1para"/>
              <w:numPr>
                <w:ilvl w:val="0"/>
                <w:numId w:val="0"/>
              </w:numPr>
            </w:pPr>
            <w:r w:rsidRPr="00FA65C1">
              <w:rPr>
                <w:noProof/>
                <w:lang w:eastAsia="en-GB"/>
              </w:rPr>
              <w:drawing>
                <wp:inline distT="0" distB="0" distL="0" distR="0" wp14:anchorId="71E9E04A" wp14:editId="55979E7E">
                  <wp:extent cx="3801035" cy="24076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7857" cy="2430983"/>
                          </a:xfrm>
                          <a:prstGeom prst="rect">
                            <a:avLst/>
                          </a:prstGeom>
                          <a:noFill/>
                        </pic:spPr>
                      </pic:pic>
                    </a:graphicData>
                  </a:graphic>
                </wp:inline>
              </w:drawing>
            </w:r>
          </w:p>
        </w:tc>
      </w:tr>
      <w:tr w:rsidR="00621A9F" w:rsidRPr="00991ED5" w14:paraId="4E61AC0F" w14:textId="77777777" w:rsidTr="00621A9F">
        <w:tc>
          <w:tcPr>
            <w:tcW w:w="8093" w:type="dxa"/>
          </w:tcPr>
          <w:p w14:paraId="666867C4" w14:textId="46CA3102" w:rsidR="00621A9F" w:rsidRPr="00991ED5" w:rsidRDefault="00621A9F" w:rsidP="00621A9F">
            <w:pPr>
              <w:pStyle w:val="NUM1para"/>
              <w:numPr>
                <w:ilvl w:val="0"/>
                <w:numId w:val="0"/>
              </w:numPr>
              <w:rPr>
                <w:rFonts w:ascii="Times New Roman" w:hAnsi="Times New Roman"/>
                <w:sz w:val="16"/>
              </w:rPr>
            </w:pPr>
            <w:r w:rsidRPr="00991ED5">
              <w:rPr>
                <w:rFonts w:ascii="Times New Roman" w:hAnsi="Times New Roman"/>
                <w:i/>
                <w:iCs/>
                <w:sz w:val="16"/>
              </w:rPr>
              <w:t>Source</w:t>
            </w:r>
            <w:r w:rsidRPr="00991ED5">
              <w:rPr>
                <w:rFonts w:ascii="Times New Roman" w:hAnsi="Times New Roman"/>
                <w:i/>
                <w:sz w:val="16"/>
              </w:rPr>
              <w:t>: Evaluation Office</w:t>
            </w:r>
          </w:p>
        </w:tc>
      </w:tr>
      <w:tr w:rsidR="00621A9F" w:rsidRPr="00991ED5" w14:paraId="53591AD3" w14:textId="77777777" w:rsidTr="00621A9F">
        <w:tc>
          <w:tcPr>
            <w:tcW w:w="8093" w:type="dxa"/>
          </w:tcPr>
          <w:p w14:paraId="17487FBC" w14:textId="77777777" w:rsidR="00621A9F" w:rsidRPr="00991ED5" w:rsidRDefault="00621A9F" w:rsidP="00621A9F">
            <w:pPr>
              <w:pStyle w:val="NUM1para"/>
              <w:numPr>
                <w:ilvl w:val="0"/>
                <w:numId w:val="0"/>
              </w:numPr>
              <w:rPr>
                <w:sz w:val="16"/>
              </w:rPr>
            </w:pPr>
          </w:p>
        </w:tc>
      </w:tr>
    </w:tbl>
    <w:p w14:paraId="23D35677" w14:textId="77777777" w:rsidR="00621A9F" w:rsidRPr="00FA65C1" w:rsidRDefault="00621A9F" w:rsidP="00D646AB">
      <w:pPr>
        <w:pStyle w:val="Headingitalics"/>
      </w:pPr>
      <w:r w:rsidRPr="00FA65C1">
        <w:t>Key performance indicator 5: quality of evaluation reports</w:t>
      </w:r>
    </w:p>
    <w:p w14:paraId="7DA8C727" w14:textId="01C62F73" w:rsidR="00621A9F" w:rsidRPr="00FA65C1" w:rsidRDefault="00621A9F" w:rsidP="00621A9F">
      <w:pPr>
        <w:pStyle w:val="NUM1para"/>
      </w:pPr>
      <w:r w:rsidRPr="00FA65C1">
        <w:t>The average quality of evaluations has risen year-on-year, with the proportion of reports assessed as ‘</w:t>
      </w:r>
      <w:r w:rsidR="00B35B95">
        <w:t>g</w:t>
      </w:r>
      <w:r w:rsidRPr="00FA65C1">
        <w:t>ood’ and ‘</w:t>
      </w:r>
      <w:r w:rsidR="00B35B95">
        <w:t>v</w:t>
      </w:r>
      <w:r w:rsidRPr="00FA65C1">
        <w:t xml:space="preserve">ery </w:t>
      </w:r>
      <w:r w:rsidR="00B35B95">
        <w:t>g</w:t>
      </w:r>
      <w:r w:rsidRPr="00FA65C1">
        <w:t>ood’ increasing</w:t>
      </w:r>
      <w:r w:rsidR="00B35B95">
        <w:t>,</w:t>
      </w:r>
      <w:r w:rsidRPr="00FA65C1">
        <w:t xml:space="preserve"> from 50 per cent in 2014 to 9</w:t>
      </w:r>
      <w:r w:rsidR="00652A5D">
        <w:t>5</w:t>
      </w:r>
      <w:r w:rsidRPr="00FA65C1">
        <w:t xml:space="preserve"> per cent in 2017. Continuing the trend from the previous year, there were no reports rated as </w:t>
      </w:r>
      <w:r w:rsidR="00B35B95">
        <w:t>‘</w:t>
      </w:r>
      <w:r w:rsidRPr="00FA65C1">
        <w:t>unsatisfactory</w:t>
      </w:r>
      <w:r w:rsidR="00B35B95">
        <w:t>’</w:t>
      </w:r>
      <w:r w:rsidRPr="00FA65C1">
        <w:t xml:space="preserve">, suggesting that the quality assurance mechanisms put in place are sustaining a performance floor in successfully strengthening the quality of evaluations. </w:t>
      </w:r>
    </w:p>
    <w:p w14:paraId="1540BEB1" w14:textId="2B87E4A4" w:rsidR="0072427C" w:rsidRPr="00E33A21" w:rsidRDefault="00621A9F" w:rsidP="00621A9F">
      <w:pPr>
        <w:pStyle w:val="FIGURE"/>
      </w:pPr>
      <w:r w:rsidRPr="00E33A21">
        <w:rPr>
          <w:b w:val="0"/>
        </w:rPr>
        <w:lastRenderedPageBreak/>
        <w:t>Figure 4</w:t>
      </w:r>
      <w:r w:rsidRPr="00E33A21">
        <w:br/>
        <w:t>Quality of evaluations, by region, 2017</w:t>
      </w:r>
    </w:p>
    <w:tbl>
      <w:tblPr>
        <w:tblStyle w:val="TableGrid"/>
        <w:tblW w:w="8367" w:type="dxa"/>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7"/>
      </w:tblGrid>
      <w:tr w:rsidR="00621A9F" w:rsidRPr="00E33A21" w14:paraId="23E7A589" w14:textId="77777777" w:rsidTr="000C65EC">
        <w:tc>
          <w:tcPr>
            <w:tcW w:w="8367" w:type="dxa"/>
          </w:tcPr>
          <w:p w14:paraId="107642A6" w14:textId="3A7FF98F" w:rsidR="00621A9F" w:rsidRPr="00E33A21" w:rsidRDefault="00C52283" w:rsidP="000C65EC">
            <w:pPr>
              <w:pStyle w:val="NUM1para"/>
              <w:numPr>
                <w:ilvl w:val="0"/>
                <w:numId w:val="0"/>
              </w:numPr>
            </w:pPr>
            <w:r w:rsidRPr="00E33A21">
              <w:rPr>
                <w:noProof/>
                <w:lang w:eastAsia="en-GB"/>
              </w:rPr>
              <w:drawing>
                <wp:inline distT="0" distB="0" distL="0" distR="0" wp14:anchorId="5A95BC1D" wp14:editId="3D5E8438">
                  <wp:extent cx="5067301" cy="4311651"/>
                  <wp:effectExtent l="0" t="0" r="0" b="12700"/>
                  <wp:docPr id="2" name="Chart 2">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621A9F" w:rsidRPr="00991ED5" w14:paraId="37B8A63F" w14:textId="77777777" w:rsidTr="000C65EC">
        <w:tc>
          <w:tcPr>
            <w:tcW w:w="8367" w:type="dxa"/>
          </w:tcPr>
          <w:p w14:paraId="08C63A56" w14:textId="016574A0" w:rsidR="00621A9F" w:rsidRPr="00991ED5" w:rsidRDefault="000C65EC" w:rsidP="000C65EC">
            <w:pPr>
              <w:pStyle w:val="NUM1para"/>
              <w:numPr>
                <w:ilvl w:val="0"/>
                <w:numId w:val="0"/>
              </w:numPr>
              <w:ind w:right="170"/>
              <w:rPr>
                <w:rFonts w:ascii="Times New Roman" w:hAnsi="Times New Roman"/>
                <w:sz w:val="16"/>
                <w:szCs w:val="18"/>
              </w:rPr>
            </w:pPr>
            <w:r w:rsidRPr="00E33A21">
              <w:rPr>
                <w:rFonts w:ascii="Times New Roman" w:hAnsi="Times New Roman"/>
                <w:sz w:val="16"/>
                <w:szCs w:val="18"/>
              </w:rPr>
              <w:t>Source: Quality assessment conducted by an external consulting firm (managed by UNFPA Evaluation Office)</w:t>
            </w:r>
          </w:p>
        </w:tc>
      </w:tr>
      <w:tr w:rsidR="00621A9F" w:rsidRPr="00991ED5" w14:paraId="2C9536F4" w14:textId="77777777" w:rsidTr="000C65EC">
        <w:tc>
          <w:tcPr>
            <w:tcW w:w="8367" w:type="dxa"/>
          </w:tcPr>
          <w:p w14:paraId="41CE90C9" w14:textId="77777777" w:rsidR="00621A9F" w:rsidRPr="00991ED5" w:rsidRDefault="00621A9F" w:rsidP="00621A9F">
            <w:pPr>
              <w:pStyle w:val="NUM1para"/>
              <w:numPr>
                <w:ilvl w:val="0"/>
                <w:numId w:val="0"/>
              </w:numPr>
              <w:rPr>
                <w:sz w:val="16"/>
              </w:rPr>
            </w:pPr>
          </w:p>
        </w:tc>
      </w:tr>
    </w:tbl>
    <w:p w14:paraId="6D58BEAB" w14:textId="4B4CCD11" w:rsidR="000C65EC" w:rsidRPr="00FA65C1" w:rsidRDefault="000C65EC" w:rsidP="00D646AB">
      <w:pPr>
        <w:pStyle w:val="Headingitalics"/>
      </w:pPr>
      <w:r w:rsidRPr="00FA65C1">
        <w:t xml:space="preserve">Key performance indicator 6: submission rate of completed evaluation reports posted on the UNFPA </w:t>
      </w:r>
      <w:r w:rsidR="00B35B95">
        <w:t>e</w:t>
      </w:r>
      <w:r w:rsidRPr="00FA65C1">
        <w:t xml:space="preserve">valuation </w:t>
      </w:r>
      <w:r w:rsidR="00B35B95">
        <w:t>database</w:t>
      </w:r>
    </w:p>
    <w:p w14:paraId="009789C8" w14:textId="59C959F3" w:rsidR="000C65EC" w:rsidRPr="00FA65C1" w:rsidRDefault="000C65EC" w:rsidP="000C65EC">
      <w:pPr>
        <w:pStyle w:val="NUM1para"/>
      </w:pPr>
      <w:r w:rsidRPr="00FA65C1">
        <w:t xml:space="preserve">In 2017, </w:t>
      </w:r>
      <w:r w:rsidR="00B35B95">
        <w:t xml:space="preserve">all </w:t>
      </w:r>
      <w:r w:rsidRPr="00FA65C1">
        <w:t>completed evaluations, at both decentralized and corporate level</w:t>
      </w:r>
      <w:r w:rsidR="00B35B95">
        <w:t>s,</w:t>
      </w:r>
      <w:r w:rsidRPr="00FA65C1">
        <w:t xml:space="preserve"> were posted on the </w:t>
      </w:r>
      <w:r w:rsidR="00B35B95">
        <w:t>e</w:t>
      </w:r>
      <w:r w:rsidRPr="00FA65C1">
        <w:t xml:space="preserve">valuation </w:t>
      </w:r>
      <w:r w:rsidR="00B35B95">
        <w:t>d</w:t>
      </w:r>
      <w:r w:rsidRPr="00FA65C1">
        <w:t>atabase</w:t>
      </w:r>
      <w:r w:rsidR="00EF3313">
        <w:t>; these</w:t>
      </w:r>
      <w:r w:rsidRPr="00FA65C1">
        <w:t xml:space="preserve"> are publicly available. Corporate evaluations, </w:t>
      </w:r>
      <w:r w:rsidR="005900E4">
        <w:t>besides</w:t>
      </w:r>
      <w:r w:rsidRPr="00FA65C1">
        <w:t xml:space="preserve"> being presented to the Executive Board, are posted on the</w:t>
      </w:r>
      <w:r w:rsidR="00950FC5" w:rsidRPr="00950FC5">
        <w:t xml:space="preserve"> Evaluation Office</w:t>
      </w:r>
      <w:r w:rsidRPr="00950FC5">
        <w:t xml:space="preserve"> </w:t>
      </w:r>
      <w:r w:rsidRPr="00FA65C1">
        <w:t>website</w:t>
      </w:r>
      <w:r w:rsidR="00EF3313">
        <w:t>; th</w:t>
      </w:r>
      <w:r w:rsidRPr="00FA65C1">
        <w:t>eir release is the subject of a communication message sent to all UNFPA staff and the wider evaluation community (</w:t>
      </w:r>
      <w:r w:rsidR="00EF3313">
        <w:t>including</w:t>
      </w:r>
      <w:r w:rsidRPr="00FA65C1">
        <w:t xml:space="preserve"> UNEG members).</w:t>
      </w:r>
    </w:p>
    <w:p w14:paraId="508D613F" w14:textId="77777777" w:rsidR="000C65EC" w:rsidRPr="00FA65C1" w:rsidRDefault="000C65EC" w:rsidP="00D646AB">
      <w:pPr>
        <w:pStyle w:val="Headingitalics"/>
      </w:pPr>
      <w:r w:rsidRPr="00FA65C1">
        <w:t xml:space="preserve">Key performance indicator 7: evaluations with management responses </w:t>
      </w:r>
    </w:p>
    <w:p w14:paraId="5AD89271" w14:textId="35AD5FA7" w:rsidR="000C65EC" w:rsidRPr="00FA65C1" w:rsidRDefault="000C65EC" w:rsidP="000C65EC">
      <w:pPr>
        <w:pStyle w:val="NUM1para"/>
      </w:pPr>
      <w:r w:rsidRPr="00FA65C1">
        <w:t xml:space="preserve">In December 2016, </w:t>
      </w:r>
      <w:r w:rsidR="00EF3313">
        <w:t xml:space="preserve">the </w:t>
      </w:r>
      <w:r w:rsidRPr="00FA65C1">
        <w:t xml:space="preserve">Programme Division launched a new management response tracking system: TeamCentral. It enables automated notifications, helps generate periodic status reports, and brings about greater clarity in roles and responsibilities, improving the quality and timeliness of responses to recommendations and, ultimately, the use of evaluations. In mid-2017, </w:t>
      </w:r>
      <w:r w:rsidR="00EF3313">
        <w:t xml:space="preserve">the </w:t>
      </w:r>
      <w:r w:rsidRPr="00FA65C1">
        <w:t>Programme Division issued guidance on the development, reporting and tracking of management responses.</w:t>
      </w:r>
    </w:p>
    <w:p w14:paraId="4176D536" w14:textId="6F30A217" w:rsidR="000C65EC" w:rsidRPr="00FA65C1" w:rsidRDefault="00EF3313" w:rsidP="000C65EC">
      <w:pPr>
        <w:pStyle w:val="NUM1para"/>
      </w:pPr>
      <w:r>
        <w:lastRenderedPageBreak/>
        <w:t>All</w:t>
      </w:r>
      <w:r w:rsidR="000C65EC" w:rsidRPr="00FA65C1">
        <w:t xml:space="preserve"> 22 evaluations </w:t>
      </w:r>
      <w:r w:rsidRPr="00EF3313">
        <w:t xml:space="preserve">(corporate, regional and country programme) </w:t>
      </w:r>
      <w:r w:rsidR="000C65EC" w:rsidRPr="00FA65C1">
        <w:t>completed and quality</w:t>
      </w:r>
      <w:r>
        <w:t>-</w:t>
      </w:r>
      <w:r w:rsidR="000C65EC" w:rsidRPr="00FA65C1">
        <w:t>assessed in 2017 had a management response</w:t>
      </w:r>
      <w:r>
        <w:t>,</w:t>
      </w:r>
      <w:r w:rsidR="000C65EC" w:rsidRPr="00FA65C1">
        <w:t xml:space="preserve"> as required by UNFPA evaluation policy.</w:t>
      </w:r>
    </w:p>
    <w:p w14:paraId="06DE627F" w14:textId="77777777" w:rsidR="000C65EC" w:rsidRPr="00FA65C1" w:rsidRDefault="000C65EC" w:rsidP="00D646AB">
      <w:pPr>
        <w:pStyle w:val="Headingitalics"/>
      </w:pPr>
      <w:r w:rsidRPr="00FA65C1">
        <w:t>Key performance indicator 8: implementation of management responses</w:t>
      </w:r>
    </w:p>
    <w:p w14:paraId="1C754881" w14:textId="4F0D2E76" w:rsidR="000C65EC" w:rsidRPr="00FA65C1" w:rsidRDefault="00EF3313" w:rsidP="000C65EC">
      <w:pPr>
        <w:pStyle w:val="NUM1para"/>
      </w:pPr>
      <w:r>
        <w:t xml:space="preserve">The </w:t>
      </w:r>
      <w:r w:rsidR="000C65EC" w:rsidRPr="00FA65C1">
        <w:t>UNFPA Programme Division monitors evaluation use and follow-up of recommendations for both corporate and programme-level evaluatio</w:t>
      </w:r>
      <w:r>
        <w:t>ns. In 2017, the percentage of ‘</w:t>
      </w:r>
      <w:r w:rsidR="000C65EC" w:rsidRPr="00FA65C1">
        <w:t>accepted programme evaluation recommendations for which the actions due in the year have been completed</w:t>
      </w:r>
      <w:r>
        <w:t>’</w:t>
      </w:r>
      <w:r w:rsidR="000C65EC" w:rsidRPr="00FA65C1">
        <w:t xml:space="preserve"> has continued to improve, reaching 84.5 per cent, a 5.5</w:t>
      </w:r>
      <w:r>
        <w:t xml:space="preserve"> per-cent </w:t>
      </w:r>
      <w:r w:rsidR="000C65EC" w:rsidRPr="00FA65C1">
        <w:t>improvement</w:t>
      </w:r>
      <w:r>
        <w:t>,</w:t>
      </w:r>
      <w:r w:rsidR="000C65EC" w:rsidRPr="00FA65C1">
        <w:t xml:space="preserve"> compared to 2016</w:t>
      </w:r>
      <w:r>
        <w:t>,</w:t>
      </w:r>
      <w:r w:rsidR="000C65EC" w:rsidRPr="00FA65C1">
        <w:t xml:space="preserve"> and the highest in </w:t>
      </w:r>
      <w:r>
        <w:t>six</w:t>
      </w:r>
      <w:r w:rsidR="000C65EC" w:rsidRPr="00FA65C1">
        <w:t xml:space="preserve"> years. </w:t>
      </w:r>
    </w:p>
    <w:p w14:paraId="5D2A4B47" w14:textId="2971B746" w:rsidR="000C65EC" w:rsidRPr="00FA65C1" w:rsidRDefault="000C65EC" w:rsidP="000C65EC">
      <w:pPr>
        <w:pStyle w:val="FIGURE"/>
      </w:pPr>
      <w:r w:rsidRPr="00FA65C1">
        <w:rPr>
          <w:b w:val="0"/>
        </w:rPr>
        <w:t>Figure 5</w:t>
      </w:r>
      <w:r w:rsidRPr="00FA65C1">
        <w:br/>
        <w:t>Implementation of evaluation management response/key actions, 2016</w:t>
      </w: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3"/>
      </w:tblGrid>
      <w:tr w:rsidR="000C65EC" w:rsidRPr="00FA65C1" w14:paraId="54CBC0B7" w14:textId="77777777" w:rsidTr="00F93469">
        <w:tc>
          <w:tcPr>
            <w:tcW w:w="8093" w:type="dxa"/>
          </w:tcPr>
          <w:p w14:paraId="2872BD0F" w14:textId="16EF5180" w:rsidR="000C65EC" w:rsidRPr="00FA65C1" w:rsidRDefault="000C65EC" w:rsidP="000C65EC">
            <w:pPr>
              <w:pStyle w:val="NUM1para"/>
              <w:numPr>
                <w:ilvl w:val="0"/>
                <w:numId w:val="0"/>
              </w:numPr>
            </w:pPr>
            <w:r w:rsidRPr="00FA65C1">
              <w:rPr>
                <w:noProof/>
                <w:lang w:eastAsia="en-GB"/>
              </w:rPr>
              <w:drawing>
                <wp:inline distT="0" distB="0" distL="0" distR="0" wp14:anchorId="7D8FF6D4" wp14:editId="645D8B0D">
                  <wp:extent cx="4386262" cy="2081213"/>
                  <wp:effectExtent l="0" t="0" r="14605"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0C65EC" w:rsidRPr="00991ED5" w14:paraId="33B00B46" w14:textId="77777777" w:rsidTr="00F93469">
        <w:tc>
          <w:tcPr>
            <w:tcW w:w="8093" w:type="dxa"/>
          </w:tcPr>
          <w:p w14:paraId="27AD0546" w14:textId="57C31888" w:rsidR="000C65EC" w:rsidRPr="00991ED5" w:rsidRDefault="000C65EC" w:rsidP="00FA5916">
            <w:pPr>
              <w:pStyle w:val="NUM1para"/>
              <w:numPr>
                <w:ilvl w:val="0"/>
                <w:numId w:val="0"/>
              </w:numPr>
              <w:rPr>
                <w:rFonts w:ascii="Times New Roman" w:hAnsi="Times New Roman"/>
                <w:sz w:val="16"/>
                <w:szCs w:val="18"/>
              </w:rPr>
            </w:pPr>
            <w:r w:rsidRPr="00991ED5">
              <w:rPr>
                <w:rFonts w:ascii="Times New Roman" w:hAnsi="Times New Roman"/>
                <w:sz w:val="16"/>
                <w:szCs w:val="18"/>
              </w:rPr>
              <w:t xml:space="preserve">Source: TeamCentral – </w:t>
            </w:r>
            <w:r w:rsidR="00FA5916" w:rsidRPr="00991ED5">
              <w:rPr>
                <w:rFonts w:ascii="Times New Roman" w:hAnsi="Times New Roman"/>
                <w:sz w:val="16"/>
                <w:szCs w:val="18"/>
              </w:rPr>
              <w:t>UNFPA m</w:t>
            </w:r>
            <w:r w:rsidRPr="00991ED5">
              <w:rPr>
                <w:rFonts w:ascii="Times New Roman" w:hAnsi="Times New Roman"/>
                <w:sz w:val="16"/>
                <w:szCs w:val="18"/>
              </w:rPr>
              <w:t xml:space="preserve">anagement </w:t>
            </w:r>
            <w:r w:rsidR="00F93469" w:rsidRPr="00991ED5">
              <w:rPr>
                <w:rFonts w:ascii="Times New Roman" w:hAnsi="Times New Roman"/>
                <w:sz w:val="16"/>
                <w:szCs w:val="18"/>
              </w:rPr>
              <w:t>r</w:t>
            </w:r>
            <w:r w:rsidR="00FA5916" w:rsidRPr="00991ED5">
              <w:rPr>
                <w:rFonts w:ascii="Times New Roman" w:hAnsi="Times New Roman"/>
                <w:sz w:val="16"/>
                <w:szCs w:val="18"/>
              </w:rPr>
              <w:t>e</w:t>
            </w:r>
            <w:r w:rsidRPr="00991ED5">
              <w:rPr>
                <w:rFonts w:ascii="Times New Roman" w:hAnsi="Times New Roman"/>
                <w:sz w:val="16"/>
                <w:szCs w:val="18"/>
              </w:rPr>
              <w:t xml:space="preserve">sponse </w:t>
            </w:r>
            <w:r w:rsidR="00FA5916" w:rsidRPr="00991ED5">
              <w:rPr>
                <w:rFonts w:ascii="Times New Roman" w:hAnsi="Times New Roman"/>
                <w:sz w:val="16"/>
                <w:szCs w:val="18"/>
              </w:rPr>
              <w:t>t</w:t>
            </w:r>
            <w:r w:rsidRPr="00991ED5">
              <w:rPr>
                <w:rFonts w:ascii="Times New Roman" w:hAnsi="Times New Roman"/>
                <w:sz w:val="16"/>
                <w:szCs w:val="18"/>
              </w:rPr>
              <w:t xml:space="preserve">racking </w:t>
            </w:r>
            <w:r w:rsidR="00FA5916" w:rsidRPr="00991ED5">
              <w:rPr>
                <w:rFonts w:ascii="Times New Roman" w:hAnsi="Times New Roman"/>
                <w:sz w:val="16"/>
                <w:szCs w:val="18"/>
              </w:rPr>
              <w:t>s</w:t>
            </w:r>
            <w:r w:rsidRPr="00991ED5">
              <w:rPr>
                <w:rFonts w:ascii="Times New Roman" w:hAnsi="Times New Roman"/>
                <w:sz w:val="16"/>
                <w:szCs w:val="18"/>
              </w:rPr>
              <w:t>ystem</w:t>
            </w:r>
          </w:p>
        </w:tc>
      </w:tr>
      <w:tr w:rsidR="000C65EC" w:rsidRPr="00991ED5" w14:paraId="28E8085D" w14:textId="77777777" w:rsidTr="00F93469">
        <w:tc>
          <w:tcPr>
            <w:tcW w:w="8093" w:type="dxa"/>
          </w:tcPr>
          <w:p w14:paraId="03AD42CB" w14:textId="77777777" w:rsidR="000C65EC" w:rsidRPr="00991ED5" w:rsidRDefault="000C65EC" w:rsidP="000C65EC">
            <w:pPr>
              <w:pStyle w:val="NUM1para"/>
              <w:numPr>
                <w:ilvl w:val="0"/>
                <w:numId w:val="0"/>
              </w:numPr>
              <w:rPr>
                <w:sz w:val="16"/>
              </w:rPr>
            </w:pPr>
          </w:p>
        </w:tc>
      </w:tr>
    </w:tbl>
    <w:p w14:paraId="3AB62140" w14:textId="77777777" w:rsidR="00F93469" w:rsidRPr="00FA65C1" w:rsidRDefault="00F93469" w:rsidP="00F93469">
      <w:pPr>
        <w:pStyle w:val="Heading21"/>
      </w:pPr>
      <w:bookmarkStart w:id="8" w:name="_Toc505873964"/>
      <w:r w:rsidRPr="00FA65C1">
        <w:t>Corporate evaluations</w:t>
      </w:r>
      <w:bookmarkEnd w:id="8"/>
    </w:p>
    <w:p w14:paraId="3AC61E5F" w14:textId="092F22BC" w:rsidR="00F93469" w:rsidRPr="00FA65C1" w:rsidRDefault="00F93469" w:rsidP="00F93469">
      <w:pPr>
        <w:pStyle w:val="NUM1para"/>
      </w:pPr>
      <w:r w:rsidRPr="00FA65C1">
        <w:t>In 2017,</w:t>
      </w:r>
      <w:r w:rsidR="00950FC5" w:rsidRPr="00950FC5">
        <w:t xml:space="preserve"> </w:t>
      </w:r>
      <w:r w:rsidR="00950FC5">
        <w:t xml:space="preserve">the </w:t>
      </w:r>
      <w:r w:rsidR="00950FC5" w:rsidRPr="00950FC5">
        <w:t>Evaluation Office</w:t>
      </w:r>
      <w:r w:rsidRPr="00950FC5">
        <w:t xml:space="preserve"> </w:t>
      </w:r>
      <w:r w:rsidRPr="00FA65C1">
        <w:t>continued its ongoing efforts to ensure quality and timely delivery of corporate evaluations, following the quadrennial budgeted evaluation plan, 2016-2019 (DP/FPA/2015/12). The Office presented to the Executive Board the findings of the corporate evaluations of</w:t>
      </w:r>
      <w:r w:rsidR="00FA5916">
        <w:t>:</w:t>
      </w:r>
      <w:r w:rsidRPr="00FA65C1">
        <w:t xml:space="preserve"> (</w:t>
      </w:r>
      <w:r w:rsidR="00FA5916">
        <w:t>a</w:t>
      </w:r>
      <w:r w:rsidRPr="00FA65C1">
        <w:t>) the architecture supporting the operational</w:t>
      </w:r>
      <w:r w:rsidR="005141F4">
        <w:t>ization</w:t>
      </w:r>
      <w:r w:rsidRPr="00FA65C1">
        <w:t xml:space="preserve"> of the UNFPA </w:t>
      </w:r>
      <w:r w:rsidR="00FA5916">
        <w:t>s</w:t>
      </w:r>
      <w:r w:rsidRPr="00FA65C1">
        <w:t>trategic plan (2014-2017)</w:t>
      </w:r>
      <w:r w:rsidR="00FA5916">
        <w:t>;</w:t>
      </w:r>
      <w:r w:rsidRPr="00FA65C1">
        <w:t xml:space="preserve"> and (</w:t>
      </w:r>
      <w:r w:rsidR="00FA5916">
        <w:t>b</w:t>
      </w:r>
      <w:r w:rsidRPr="00FA65C1">
        <w:t xml:space="preserve">) the UNFPA innovation initiative. </w:t>
      </w:r>
    </w:p>
    <w:p w14:paraId="5D8806FD" w14:textId="18060699" w:rsidR="00F93469" w:rsidRPr="00FA65C1" w:rsidRDefault="00F93469" w:rsidP="00F93469">
      <w:pPr>
        <w:pStyle w:val="NUM1para"/>
      </w:pPr>
      <w:r w:rsidRPr="00FA65C1">
        <w:t xml:space="preserve">By December 2017, the implementation rate for corporate evaluations </w:t>
      </w:r>
      <w:r w:rsidR="00FA5916">
        <w:t>during</w:t>
      </w:r>
      <w:r w:rsidRPr="00FA65C1">
        <w:t xml:space="preserve"> 2017-2018 (either on</w:t>
      </w:r>
      <w:r w:rsidR="00FA5916">
        <w:t xml:space="preserve"> </w:t>
      </w:r>
      <w:r w:rsidRPr="00FA65C1">
        <w:t>track or completed) was 93 per cent: 13 of 14 evaluations were completed or on track to be completed as planned, while one was cancelled.</w:t>
      </w:r>
    </w:p>
    <w:p w14:paraId="46810801" w14:textId="62B7D2A3" w:rsidR="00F93469" w:rsidRDefault="00F93469" w:rsidP="00F93469">
      <w:pPr>
        <w:pStyle w:val="NUM1para"/>
      </w:pPr>
      <w:r w:rsidRPr="00FA65C1">
        <w:t>In 2017, corporate evaluations experience</w:t>
      </w:r>
      <w:r w:rsidR="00FA5916">
        <w:t>d</w:t>
      </w:r>
      <w:r w:rsidRPr="00FA65C1">
        <w:t xml:space="preserve"> long procurement process</w:t>
      </w:r>
      <w:r w:rsidR="00FA5916">
        <w:t>es</w:t>
      </w:r>
      <w:r w:rsidRPr="00FA65C1">
        <w:t xml:space="preserve">. To reduce </w:t>
      </w:r>
      <w:r w:rsidR="00FA5916">
        <w:t>the duration</w:t>
      </w:r>
      <w:r w:rsidRPr="00FA65C1">
        <w:t xml:space="preserve"> of procurement processes, and enhance cost-effectiveness,</w:t>
      </w:r>
      <w:r w:rsidR="00950FC5">
        <w:t xml:space="preserve"> the </w:t>
      </w:r>
      <w:r w:rsidR="00950FC5" w:rsidRPr="00950FC5">
        <w:t>Evaluation Office</w:t>
      </w:r>
      <w:r w:rsidRPr="00950FC5">
        <w:t xml:space="preserve"> </w:t>
      </w:r>
      <w:r w:rsidRPr="00FA65C1">
        <w:t>started to establish long</w:t>
      </w:r>
      <w:r w:rsidR="00FA5916">
        <w:t>-</w:t>
      </w:r>
      <w:r w:rsidRPr="00FA65C1">
        <w:t xml:space="preserve">term agreements covering corporate thematic evaluations approved in the </w:t>
      </w:r>
      <w:r w:rsidR="00F60603">
        <w:t>q</w:t>
      </w:r>
      <w:r w:rsidRPr="00FA65C1">
        <w:t xml:space="preserve">uadrennial </w:t>
      </w:r>
      <w:r w:rsidR="00F60603">
        <w:t>b</w:t>
      </w:r>
      <w:r w:rsidRPr="00FA65C1">
        <w:t>udget</w:t>
      </w:r>
      <w:r w:rsidR="00F60603">
        <w:t>ed</w:t>
      </w:r>
      <w:r w:rsidRPr="00FA65C1">
        <w:t xml:space="preserve"> </w:t>
      </w:r>
      <w:r w:rsidR="00F60603">
        <w:t>e</w:t>
      </w:r>
      <w:r w:rsidRPr="00FA65C1">
        <w:t xml:space="preserve">valuation </w:t>
      </w:r>
      <w:r w:rsidR="00F60603">
        <w:t>p</w:t>
      </w:r>
      <w:r w:rsidRPr="00FA65C1">
        <w:t>lan</w:t>
      </w:r>
      <w:r w:rsidR="00F60603">
        <w:t xml:space="preserve">, </w:t>
      </w:r>
      <w:r w:rsidR="00F60603" w:rsidRPr="00F60603">
        <w:t>2018-2021</w:t>
      </w:r>
      <w:r w:rsidRPr="00F60603">
        <w:t>.</w:t>
      </w:r>
      <w:r w:rsidRPr="00FA65C1">
        <w:t xml:space="preserve"> </w:t>
      </w:r>
    </w:p>
    <w:p w14:paraId="4118970C" w14:textId="63F91247" w:rsidR="00077DF6" w:rsidRDefault="00077DF6" w:rsidP="00077DF6">
      <w:pPr>
        <w:pStyle w:val="NUM1para"/>
        <w:numPr>
          <w:ilvl w:val="0"/>
          <w:numId w:val="0"/>
        </w:numPr>
        <w:ind w:left="1267"/>
      </w:pPr>
    </w:p>
    <w:p w14:paraId="653F0CE0" w14:textId="77777777" w:rsidR="00077DF6" w:rsidRPr="00FA65C1" w:rsidRDefault="00077DF6" w:rsidP="00077DF6">
      <w:pPr>
        <w:pStyle w:val="NUM1para"/>
        <w:numPr>
          <w:ilvl w:val="0"/>
          <w:numId w:val="0"/>
        </w:numPr>
        <w:ind w:left="1267"/>
      </w:pPr>
    </w:p>
    <w:p w14:paraId="6CA6B590" w14:textId="4AD2B145" w:rsidR="00F93469" w:rsidRPr="00FA65C1" w:rsidRDefault="00F93469" w:rsidP="00DC6556">
      <w:pPr>
        <w:pStyle w:val="FIGURE"/>
        <w:ind w:left="567" w:right="-138"/>
      </w:pPr>
      <w:r w:rsidRPr="00FA65C1">
        <w:rPr>
          <w:b w:val="0"/>
        </w:rPr>
        <w:lastRenderedPageBreak/>
        <w:t>Table 3</w:t>
      </w:r>
      <w:r w:rsidR="00D646AB" w:rsidRPr="00FA65C1">
        <w:br/>
      </w:r>
      <w:r w:rsidRPr="00FA65C1">
        <w:t>Implementation status of planned corporate evaluations and other evaluative studies, 2017-2018</w:t>
      </w:r>
    </w:p>
    <w:tbl>
      <w:tblPr>
        <w:tblW w:w="9552" w:type="dxa"/>
        <w:tblInd w:w="108" w:type="dxa"/>
        <w:tblLook w:val="04A0" w:firstRow="1" w:lastRow="0" w:firstColumn="1" w:lastColumn="0" w:noHBand="0" w:noVBand="1"/>
      </w:tblPr>
      <w:tblGrid>
        <w:gridCol w:w="3866"/>
        <w:gridCol w:w="1952"/>
        <w:gridCol w:w="1338"/>
        <w:gridCol w:w="2396"/>
      </w:tblGrid>
      <w:tr w:rsidR="00DC6556" w:rsidRPr="00FA65C1" w14:paraId="685004DE" w14:textId="77777777" w:rsidTr="00B333A5">
        <w:trPr>
          <w:trHeight w:val="20"/>
        </w:trPr>
        <w:tc>
          <w:tcPr>
            <w:tcW w:w="3866" w:type="dxa"/>
            <w:tcBorders>
              <w:top w:val="single" w:sz="4" w:space="0" w:color="auto"/>
              <w:left w:val="nil"/>
              <w:bottom w:val="double" w:sz="6" w:space="0" w:color="auto"/>
              <w:right w:val="nil"/>
            </w:tcBorders>
            <w:shd w:val="clear" w:color="auto" w:fill="D9D9D9" w:themeFill="background1" w:themeFillShade="D9"/>
            <w:vAlign w:val="center"/>
            <w:hideMark/>
          </w:tcPr>
          <w:p w14:paraId="09BE2017" w14:textId="77777777" w:rsidR="00DC6556" w:rsidRPr="00FA65C1" w:rsidRDefault="00DC6556" w:rsidP="00AC2A4F">
            <w:pPr>
              <w:rPr>
                <w:b/>
                <w:bCs/>
                <w:color w:val="000000"/>
                <w:sz w:val="17"/>
                <w:szCs w:val="17"/>
              </w:rPr>
            </w:pPr>
            <w:r w:rsidRPr="00FA65C1">
              <w:rPr>
                <w:b/>
                <w:bCs/>
                <w:color w:val="000000"/>
                <w:sz w:val="17"/>
                <w:szCs w:val="17"/>
              </w:rPr>
              <w:t>Title</w:t>
            </w:r>
          </w:p>
        </w:tc>
        <w:tc>
          <w:tcPr>
            <w:tcW w:w="1952" w:type="dxa"/>
            <w:tcBorders>
              <w:top w:val="single" w:sz="4" w:space="0" w:color="auto"/>
              <w:left w:val="nil"/>
              <w:bottom w:val="double" w:sz="6" w:space="0" w:color="auto"/>
              <w:right w:val="nil"/>
            </w:tcBorders>
            <w:shd w:val="clear" w:color="auto" w:fill="D9D9D9" w:themeFill="background1" w:themeFillShade="D9"/>
            <w:noWrap/>
            <w:vAlign w:val="center"/>
            <w:hideMark/>
          </w:tcPr>
          <w:p w14:paraId="5DE1D916" w14:textId="77777777" w:rsidR="00DC6556" w:rsidRPr="00FA65C1" w:rsidRDefault="00DC6556" w:rsidP="00AC2A4F">
            <w:pPr>
              <w:rPr>
                <w:b/>
                <w:bCs/>
                <w:color w:val="000000"/>
                <w:sz w:val="17"/>
                <w:szCs w:val="17"/>
              </w:rPr>
            </w:pPr>
            <w:r w:rsidRPr="00FA65C1">
              <w:rPr>
                <w:b/>
                <w:bCs/>
                <w:color w:val="000000"/>
                <w:sz w:val="17"/>
                <w:szCs w:val="17"/>
              </w:rPr>
              <w:t>Status</w:t>
            </w:r>
          </w:p>
        </w:tc>
        <w:tc>
          <w:tcPr>
            <w:tcW w:w="1338" w:type="dxa"/>
            <w:tcBorders>
              <w:top w:val="single" w:sz="4" w:space="0" w:color="auto"/>
              <w:left w:val="nil"/>
              <w:bottom w:val="double" w:sz="6" w:space="0" w:color="auto"/>
              <w:right w:val="nil"/>
            </w:tcBorders>
            <w:shd w:val="clear" w:color="auto" w:fill="D9D9D9" w:themeFill="background1" w:themeFillShade="D9"/>
            <w:vAlign w:val="center"/>
            <w:hideMark/>
          </w:tcPr>
          <w:p w14:paraId="3C520CD1" w14:textId="30778A8E" w:rsidR="00DC6556" w:rsidRPr="00FA65C1" w:rsidRDefault="00DC6556" w:rsidP="00AC2A4F">
            <w:pPr>
              <w:rPr>
                <w:b/>
                <w:bCs/>
                <w:color w:val="000000"/>
                <w:sz w:val="17"/>
                <w:szCs w:val="17"/>
              </w:rPr>
            </w:pPr>
            <w:r w:rsidRPr="00FA65C1">
              <w:rPr>
                <w:b/>
                <w:bCs/>
                <w:color w:val="000000"/>
                <w:sz w:val="17"/>
                <w:szCs w:val="17"/>
              </w:rPr>
              <w:t xml:space="preserve">Management </w:t>
            </w:r>
            <w:r w:rsidR="00AC2A4F">
              <w:rPr>
                <w:b/>
                <w:bCs/>
                <w:color w:val="000000"/>
                <w:sz w:val="17"/>
                <w:szCs w:val="17"/>
              </w:rPr>
              <w:t>r</w:t>
            </w:r>
            <w:r w:rsidRPr="00FA65C1">
              <w:rPr>
                <w:b/>
                <w:bCs/>
                <w:color w:val="000000"/>
                <w:sz w:val="17"/>
                <w:szCs w:val="17"/>
              </w:rPr>
              <w:t>esponse</w:t>
            </w:r>
          </w:p>
        </w:tc>
        <w:tc>
          <w:tcPr>
            <w:tcW w:w="2396" w:type="dxa"/>
            <w:tcBorders>
              <w:top w:val="single" w:sz="4" w:space="0" w:color="auto"/>
              <w:left w:val="nil"/>
              <w:bottom w:val="double" w:sz="6" w:space="0" w:color="auto"/>
              <w:right w:val="nil"/>
            </w:tcBorders>
            <w:shd w:val="clear" w:color="auto" w:fill="D9D9D9" w:themeFill="background1" w:themeFillShade="D9"/>
            <w:vAlign w:val="center"/>
            <w:hideMark/>
          </w:tcPr>
          <w:p w14:paraId="32C27003" w14:textId="59A847F6" w:rsidR="00DC6556" w:rsidRPr="00FA65C1" w:rsidRDefault="00DC6556" w:rsidP="00B333A5">
            <w:pPr>
              <w:rPr>
                <w:b/>
                <w:bCs/>
                <w:color w:val="000000"/>
                <w:sz w:val="17"/>
                <w:szCs w:val="17"/>
              </w:rPr>
            </w:pPr>
            <w:r w:rsidRPr="00FA65C1">
              <w:rPr>
                <w:b/>
                <w:bCs/>
                <w:color w:val="000000"/>
                <w:sz w:val="17"/>
                <w:szCs w:val="17"/>
              </w:rPr>
              <w:t>P</w:t>
            </w:r>
            <w:r w:rsidR="00B333A5">
              <w:rPr>
                <w:b/>
                <w:bCs/>
                <w:color w:val="000000"/>
                <w:sz w:val="17"/>
                <w:szCs w:val="17"/>
              </w:rPr>
              <w:t xml:space="preserve">resentation to Executive </w:t>
            </w:r>
            <w:r w:rsidRPr="00FA65C1">
              <w:rPr>
                <w:b/>
                <w:bCs/>
                <w:color w:val="000000"/>
                <w:sz w:val="17"/>
                <w:szCs w:val="17"/>
              </w:rPr>
              <w:t>Board/</w:t>
            </w:r>
            <w:r w:rsidR="00B333A5">
              <w:rPr>
                <w:b/>
                <w:bCs/>
                <w:color w:val="000000"/>
                <w:sz w:val="17"/>
                <w:szCs w:val="17"/>
              </w:rPr>
              <w:t xml:space="preserve"> s</w:t>
            </w:r>
            <w:r w:rsidRPr="00FA65C1">
              <w:rPr>
                <w:b/>
                <w:bCs/>
                <w:color w:val="000000"/>
                <w:sz w:val="17"/>
                <w:szCs w:val="17"/>
              </w:rPr>
              <w:t xml:space="preserve">teering </w:t>
            </w:r>
            <w:r w:rsidR="00B333A5">
              <w:rPr>
                <w:b/>
                <w:bCs/>
                <w:color w:val="000000"/>
                <w:sz w:val="17"/>
                <w:szCs w:val="17"/>
              </w:rPr>
              <w:t>c</w:t>
            </w:r>
            <w:r w:rsidRPr="00FA65C1">
              <w:rPr>
                <w:b/>
                <w:bCs/>
                <w:color w:val="000000"/>
                <w:sz w:val="17"/>
                <w:szCs w:val="17"/>
              </w:rPr>
              <w:t xml:space="preserve">ommittees </w:t>
            </w:r>
          </w:p>
        </w:tc>
      </w:tr>
      <w:tr w:rsidR="00DC6556" w:rsidRPr="00FA65C1" w14:paraId="7F43996B" w14:textId="77777777" w:rsidTr="00090D43">
        <w:trPr>
          <w:trHeight w:val="850"/>
        </w:trPr>
        <w:tc>
          <w:tcPr>
            <w:tcW w:w="3866" w:type="dxa"/>
            <w:tcBorders>
              <w:top w:val="nil"/>
              <w:left w:val="nil"/>
              <w:bottom w:val="nil"/>
              <w:right w:val="nil"/>
            </w:tcBorders>
            <w:shd w:val="clear" w:color="auto" w:fill="auto"/>
            <w:hideMark/>
          </w:tcPr>
          <w:p w14:paraId="60D7BA6C" w14:textId="77777777" w:rsidR="00DC6556" w:rsidRPr="00FA65C1" w:rsidRDefault="00DC6556" w:rsidP="00AC2A4F">
            <w:pPr>
              <w:rPr>
                <w:bCs/>
                <w:color w:val="000000"/>
                <w:sz w:val="17"/>
                <w:szCs w:val="17"/>
              </w:rPr>
            </w:pPr>
            <w:r w:rsidRPr="00FA65C1">
              <w:rPr>
                <w:bCs/>
                <w:color w:val="000000"/>
                <w:sz w:val="17"/>
                <w:szCs w:val="17"/>
              </w:rPr>
              <w:t>1. End-line evaluation of H4+ Joint Programme Canada and Sweden (Sida), 2011-2016</w:t>
            </w:r>
          </w:p>
        </w:tc>
        <w:tc>
          <w:tcPr>
            <w:tcW w:w="1952" w:type="dxa"/>
            <w:tcBorders>
              <w:top w:val="nil"/>
              <w:left w:val="nil"/>
              <w:bottom w:val="nil"/>
              <w:right w:val="nil"/>
            </w:tcBorders>
            <w:shd w:val="clear" w:color="auto" w:fill="auto"/>
            <w:noWrap/>
            <w:hideMark/>
          </w:tcPr>
          <w:p w14:paraId="4F17B227" w14:textId="77777777" w:rsidR="00DC6556" w:rsidRPr="00FA65C1" w:rsidRDefault="00DC6556" w:rsidP="00AC2A4F">
            <w:pPr>
              <w:rPr>
                <w:color w:val="000000"/>
                <w:sz w:val="17"/>
                <w:szCs w:val="17"/>
              </w:rPr>
            </w:pPr>
            <w:r w:rsidRPr="00FA65C1">
              <w:rPr>
                <w:color w:val="000000"/>
                <w:sz w:val="17"/>
                <w:szCs w:val="17"/>
              </w:rPr>
              <w:t>Completed</w:t>
            </w:r>
          </w:p>
        </w:tc>
        <w:tc>
          <w:tcPr>
            <w:tcW w:w="1338" w:type="dxa"/>
            <w:tcBorders>
              <w:top w:val="nil"/>
              <w:left w:val="nil"/>
              <w:bottom w:val="nil"/>
              <w:right w:val="nil"/>
            </w:tcBorders>
            <w:shd w:val="clear" w:color="auto" w:fill="auto"/>
            <w:noWrap/>
            <w:hideMark/>
          </w:tcPr>
          <w:p w14:paraId="5B1A51BE" w14:textId="77777777" w:rsidR="00DC6556" w:rsidRPr="00FA65C1" w:rsidRDefault="00DC6556" w:rsidP="00AC2A4F">
            <w:pPr>
              <w:rPr>
                <w:color w:val="000000"/>
                <w:sz w:val="17"/>
                <w:szCs w:val="17"/>
              </w:rPr>
            </w:pPr>
            <w:r w:rsidRPr="00FA65C1">
              <w:rPr>
                <w:color w:val="000000"/>
                <w:sz w:val="17"/>
                <w:szCs w:val="17"/>
              </w:rPr>
              <w:t>Yes</w:t>
            </w:r>
          </w:p>
        </w:tc>
        <w:tc>
          <w:tcPr>
            <w:tcW w:w="2396" w:type="dxa"/>
            <w:tcBorders>
              <w:top w:val="nil"/>
              <w:left w:val="nil"/>
              <w:bottom w:val="nil"/>
              <w:right w:val="nil"/>
            </w:tcBorders>
            <w:shd w:val="clear" w:color="auto" w:fill="auto"/>
            <w:hideMark/>
          </w:tcPr>
          <w:p w14:paraId="1BBEBC1E" w14:textId="04D22067" w:rsidR="00DC6556" w:rsidRPr="00FA65C1" w:rsidRDefault="00DC6556" w:rsidP="00AC2A4F">
            <w:pPr>
              <w:rPr>
                <w:color w:val="000000"/>
                <w:sz w:val="17"/>
                <w:szCs w:val="17"/>
              </w:rPr>
            </w:pPr>
            <w:r w:rsidRPr="00FA65C1">
              <w:rPr>
                <w:bCs/>
                <w:color w:val="000000"/>
                <w:sz w:val="17"/>
                <w:szCs w:val="17"/>
              </w:rPr>
              <w:t xml:space="preserve">Informal </w:t>
            </w:r>
            <w:r w:rsidR="00AC2A4F">
              <w:rPr>
                <w:bCs/>
                <w:color w:val="000000"/>
                <w:sz w:val="17"/>
                <w:szCs w:val="17"/>
              </w:rPr>
              <w:t xml:space="preserve">joint </w:t>
            </w:r>
            <w:r w:rsidRPr="00FA65C1">
              <w:rPr>
                <w:bCs/>
                <w:color w:val="000000"/>
                <w:sz w:val="17"/>
                <w:szCs w:val="17"/>
              </w:rPr>
              <w:t>meeting</w:t>
            </w:r>
            <w:r w:rsidRPr="00FA65C1">
              <w:rPr>
                <w:b/>
                <w:bCs/>
                <w:color w:val="000000"/>
                <w:sz w:val="17"/>
                <w:szCs w:val="17"/>
              </w:rPr>
              <w:t xml:space="preserve"> </w:t>
            </w:r>
            <w:r w:rsidRPr="00F60603">
              <w:rPr>
                <w:bCs/>
                <w:color w:val="000000"/>
                <w:sz w:val="17"/>
                <w:szCs w:val="17"/>
              </w:rPr>
              <w:t>of</w:t>
            </w:r>
            <w:r w:rsidRPr="00FA65C1">
              <w:rPr>
                <w:b/>
                <w:bCs/>
                <w:color w:val="000000"/>
                <w:sz w:val="17"/>
                <w:szCs w:val="17"/>
              </w:rPr>
              <w:t xml:space="preserve"> </w:t>
            </w:r>
            <w:r w:rsidRPr="00FA65C1">
              <w:rPr>
                <w:color w:val="000000"/>
                <w:sz w:val="17"/>
                <w:szCs w:val="17"/>
              </w:rPr>
              <w:t xml:space="preserve">UNFPA/UNICEF </w:t>
            </w:r>
            <w:r w:rsidR="00AC2A4F">
              <w:rPr>
                <w:color w:val="000000"/>
                <w:sz w:val="17"/>
                <w:szCs w:val="17"/>
              </w:rPr>
              <w:t>e</w:t>
            </w:r>
            <w:r w:rsidRPr="00FA65C1">
              <w:rPr>
                <w:color w:val="000000"/>
                <w:sz w:val="17"/>
                <w:szCs w:val="17"/>
              </w:rPr>
              <w:t xml:space="preserve">xecutive </w:t>
            </w:r>
            <w:r w:rsidR="00AC2A4F">
              <w:rPr>
                <w:color w:val="000000"/>
                <w:sz w:val="17"/>
                <w:szCs w:val="17"/>
              </w:rPr>
              <w:t>b</w:t>
            </w:r>
            <w:r w:rsidRPr="00FA65C1">
              <w:rPr>
                <w:color w:val="000000"/>
                <w:sz w:val="17"/>
                <w:szCs w:val="17"/>
              </w:rPr>
              <w:t xml:space="preserve">oards during first regular </w:t>
            </w:r>
            <w:r w:rsidR="00AC2A4F">
              <w:rPr>
                <w:color w:val="000000"/>
                <w:sz w:val="17"/>
                <w:szCs w:val="17"/>
              </w:rPr>
              <w:t>s</w:t>
            </w:r>
            <w:r w:rsidRPr="00FA65C1">
              <w:rPr>
                <w:color w:val="000000"/>
                <w:sz w:val="17"/>
                <w:szCs w:val="17"/>
              </w:rPr>
              <w:t>ession 2018</w:t>
            </w:r>
          </w:p>
        </w:tc>
      </w:tr>
      <w:tr w:rsidR="00DC6556" w:rsidRPr="00FA65C1" w14:paraId="2EDC2EC0" w14:textId="77777777" w:rsidTr="00090D43">
        <w:trPr>
          <w:trHeight w:val="624"/>
        </w:trPr>
        <w:tc>
          <w:tcPr>
            <w:tcW w:w="3866" w:type="dxa"/>
            <w:tcBorders>
              <w:top w:val="nil"/>
              <w:left w:val="nil"/>
              <w:bottom w:val="nil"/>
              <w:right w:val="nil"/>
            </w:tcBorders>
            <w:shd w:val="clear" w:color="auto" w:fill="auto"/>
            <w:hideMark/>
          </w:tcPr>
          <w:p w14:paraId="410AF8DA" w14:textId="77777777" w:rsidR="00DC6556" w:rsidRPr="00FA65C1" w:rsidRDefault="00DC6556" w:rsidP="00AC2A4F">
            <w:pPr>
              <w:rPr>
                <w:bCs/>
                <w:color w:val="000000"/>
                <w:sz w:val="17"/>
                <w:szCs w:val="17"/>
              </w:rPr>
            </w:pPr>
            <w:r w:rsidRPr="00FA65C1">
              <w:rPr>
                <w:bCs/>
                <w:color w:val="000000"/>
                <w:sz w:val="17"/>
                <w:szCs w:val="17"/>
              </w:rPr>
              <w:t>2. Evaluation of the architecture supporting the operationalization of the UNFPA strategic plan (2014-2017)</w:t>
            </w:r>
          </w:p>
        </w:tc>
        <w:tc>
          <w:tcPr>
            <w:tcW w:w="1952" w:type="dxa"/>
            <w:tcBorders>
              <w:top w:val="nil"/>
              <w:left w:val="nil"/>
              <w:bottom w:val="nil"/>
              <w:right w:val="nil"/>
            </w:tcBorders>
            <w:shd w:val="clear" w:color="auto" w:fill="auto"/>
            <w:noWrap/>
            <w:hideMark/>
          </w:tcPr>
          <w:p w14:paraId="5CF9AC8B" w14:textId="77777777" w:rsidR="00DC6556" w:rsidRPr="00FA65C1" w:rsidRDefault="00DC6556" w:rsidP="00AC2A4F">
            <w:pPr>
              <w:rPr>
                <w:color w:val="000000"/>
                <w:sz w:val="17"/>
                <w:szCs w:val="17"/>
              </w:rPr>
            </w:pPr>
            <w:r w:rsidRPr="00FA65C1">
              <w:rPr>
                <w:color w:val="000000"/>
                <w:sz w:val="17"/>
                <w:szCs w:val="17"/>
              </w:rPr>
              <w:t>Completed</w:t>
            </w:r>
          </w:p>
        </w:tc>
        <w:tc>
          <w:tcPr>
            <w:tcW w:w="1338" w:type="dxa"/>
            <w:tcBorders>
              <w:top w:val="nil"/>
              <w:left w:val="nil"/>
              <w:bottom w:val="nil"/>
              <w:right w:val="nil"/>
            </w:tcBorders>
            <w:shd w:val="clear" w:color="auto" w:fill="auto"/>
            <w:noWrap/>
            <w:hideMark/>
          </w:tcPr>
          <w:p w14:paraId="715D392B" w14:textId="77777777" w:rsidR="00DC6556" w:rsidRPr="00FA65C1" w:rsidRDefault="00DC6556" w:rsidP="00AC2A4F">
            <w:pPr>
              <w:rPr>
                <w:color w:val="000000"/>
                <w:sz w:val="17"/>
                <w:szCs w:val="17"/>
              </w:rPr>
            </w:pPr>
            <w:r w:rsidRPr="00FA65C1">
              <w:rPr>
                <w:color w:val="000000"/>
                <w:sz w:val="17"/>
                <w:szCs w:val="17"/>
              </w:rPr>
              <w:t>Yes</w:t>
            </w:r>
          </w:p>
        </w:tc>
        <w:tc>
          <w:tcPr>
            <w:tcW w:w="2396" w:type="dxa"/>
            <w:tcBorders>
              <w:top w:val="nil"/>
              <w:left w:val="nil"/>
              <w:bottom w:val="nil"/>
              <w:right w:val="nil"/>
            </w:tcBorders>
            <w:shd w:val="clear" w:color="auto" w:fill="auto"/>
            <w:hideMark/>
          </w:tcPr>
          <w:p w14:paraId="20671D4F" w14:textId="77777777" w:rsidR="00DC6556" w:rsidRPr="00FA65C1" w:rsidRDefault="00DC6556" w:rsidP="00AC2A4F">
            <w:pPr>
              <w:rPr>
                <w:color w:val="000000"/>
                <w:sz w:val="17"/>
                <w:szCs w:val="17"/>
              </w:rPr>
            </w:pPr>
            <w:r w:rsidRPr="00FA65C1">
              <w:rPr>
                <w:bCs/>
                <w:color w:val="000000"/>
                <w:sz w:val="17"/>
                <w:szCs w:val="17"/>
              </w:rPr>
              <w:t xml:space="preserve">Informal meeting </w:t>
            </w:r>
            <w:r w:rsidRPr="00FA65C1">
              <w:rPr>
                <w:color w:val="000000"/>
                <w:sz w:val="17"/>
                <w:szCs w:val="17"/>
              </w:rPr>
              <w:t>during second regular session 2017</w:t>
            </w:r>
          </w:p>
        </w:tc>
      </w:tr>
      <w:tr w:rsidR="00DC6556" w:rsidRPr="00FA65C1" w14:paraId="65C4EF3C" w14:textId="77777777" w:rsidTr="00B333A5">
        <w:trPr>
          <w:trHeight w:val="567"/>
        </w:trPr>
        <w:tc>
          <w:tcPr>
            <w:tcW w:w="3866" w:type="dxa"/>
            <w:tcBorders>
              <w:top w:val="nil"/>
              <w:left w:val="nil"/>
              <w:bottom w:val="nil"/>
              <w:right w:val="nil"/>
            </w:tcBorders>
            <w:shd w:val="clear" w:color="auto" w:fill="auto"/>
            <w:hideMark/>
          </w:tcPr>
          <w:p w14:paraId="4FFA476D" w14:textId="77777777" w:rsidR="00DC6556" w:rsidRPr="00FA65C1" w:rsidRDefault="00DC6556" w:rsidP="00AC2A4F">
            <w:pPr>
              <w:rPr>
                <w:bCs/>
                <w:color w:val="000000"/>
                <w:sz w:val="17"/>
                <w:szCs w:val="17"/>
              </w:rPr>
            </w:pPr>
            <w:r w:rsidRPr="00FA65C1">
              <w:rPr>
                <w:bCs/>
                <w:color w:val="000000"/>
                <w:sz w:val="17"/>
                <w:szCs w:val="17"/>
              </w:rPr>
              <w:t>3. Formative evaluation of the UNFPA Innovation Initiative</w:t>
            </w:r>
          </w:p>
        </w:tc>
        <w:tc>
          <w:tcPr>
            <w:tcW w:w="1952" w:type="dxa"/>
            <w:tcBorders>
              <w:top w:val="nil"/>
              <w:left w:val="nil"/>
              <w:bottom w:val="nil"/>
              <w:right w:val="nil"/>
            </w:tcBorders>
            <w:shd w:val="clear" w:color="auto" w:fill="auto"/>
            <w:hideMark/>
          </w:tcPr>
          <w:p w14:paraId="4F930BF8" w14:textId="77777777" w:rsidR="00DC6556" w:rsidRPr="00FA65C1" w:rsidRDefault="00DC6556" w:rsidP="00AC2A4F">
            <w:pPr>
              <w:rPr>
                <w:color w:val="000000"/>
                <w:sz w:val="17"/>
                <w:szCs w:val="17"/>
              </w:rPr>
            </w:pPr>
            <w:r w:rsidRPr="00FA65C1">
              <w:rPr>
                <w:color w:val="000000"/>
                <w:sz w:val="17"/>
                <w:szCs w:val="17"/>
              </w:rPr>
              <w:t>Completed</w:t>
            </w:r>
          </w:p>
        </w:tc>
        <w:tc>
          <w:tcPr>
            <w:tcW w:w="1338" w:type="dxa"/>
            <w:tcBorders>
              <w:top w:val="nil"/>
              <w:left w:val="nil"/>
              <w:bottom w:val="nil"/>
              <w:right w:val="nil"/>
            </w:tcBorders>
            <w:shd w:val="clear" w:color="auto" w:fill="auto"/>
            <w:noWrap/>
            <w:hideMark/>
          </w:tcPr>
          <w:p w14:paraId="573F0E19" w14:textId="77777777" w:rsidR="00DC6556" w:rsidRPr="00FA65C1" w:rsidRDefault="00DC6556" w:rsidP="00AC2A4F">
            <w:pPr>
              <w:rPr>
                <w:color w:val="000000"/>
                <w:sz w:val="17"/>
                <w:szCs w:val="17"/>
              </w:rPr>
            </w:pPr>
            <w:r w:rsidRPr="00FA65C1">
              <w:rPr>
                <w:color w:val="000000"/>
                <w:sz w:val="17"/>
                <w:szCs w:val="17"/>
              </w:rPr>
              <w:t>Yes</w:t>
            </w:r>
          </w:p>
        </w:tc>
        <w:tc>
          <w:tcPr>
            <w:tcW w:w="2396" w:type="dxa"/>
            <w:tcBorders>
              <w:top w:val="nil"/>
              <w:left w:val="nil"/>
              <w:bottom w:val="nil"/>
              <w:right w:val="nil"/>
            </w:tcBorders>
            <w:shd w:val="clear" w:color="auto" w:fill="auto"/>
            <w:hideMark/>
          </w:tcPr>
          <w:p w14:paraId="290CA93A" w14:textId="77777777" w:rsidR="00DC6556" w:rsidRPr="00FA65C1" w:rsidRDefault="00DC6556" w:rsidP="00AC2A4F">
            <w:pPr>
              <w:rPr>
                <w:color w:val="000000"/>
                <w:sz w:val="17"/>
                <w:szCs w:val="17"/>
              </w:rPr>
            </w:pPr>
            <w:r w:rsidRPr="00FA65C1">
              <w:rPr>
                <w:bCs/>
                <w:color w:val="000000"/>
                <w:sz w:val="17"/>
                <w:szCs w:val="17"/>
              </w:rPr>
              <w:t>F</w:t>
            </w:r>
            <w:r w:rsidRPr="00FA65C1">
              <w:rPr>
                <w:color w:val="000000"/>
                <w:sz w:val="17"/>
                <w:szCs w:val="17"/>
              </w:rPr>
              <w:t>irst regular session 2018</w:t>
            </w:r>
          </w:p>
        </w:tc>
      </w:tr>
      <w:tr w:rsidR="00DC6556" w:rsidRPr="00FA65C1" w14:paraId="62A2D18D" w14:textId="77777777" w:rsidTr="00B333A5">
        <w:trPr>
          <w:trHeight w:val="567"/>
        </w:trPr>
        <w:tc>
          <w:tcPr>
            <w:tcW w:w="3866" w:type="dxa"/>
            <w:tcBorders>
              <w:top w:val="nil"/>
              <w:left w:val="nil"/>
              <w:bottom w:val="nil"/>
              <w:right w:val="nil"/>
            </w:tcBorders>
            <w:shd w:val="clear" w:color="auto" w:fill="auto"/>
            <w:hideMark/>
          </w:tcPr>
          <w:p w14:paraId="4F1AB07B" w14:textId="114AE415" w:rsidR="00DC6556" w:rsidRPr="00FA65C1" w:rsidRDefault="00DC6556" w:rsidP="00AC2A4F">
            <w:pPr>
              <w:rPr>
                <w:bCs/>
                <w:color w:val="000000"/>
                <w:sz w:val="17"/>
                <w:szCs w:val="17"/>
              </w:rPr>
            </w:pPr>
            <w:r w:rsidRPr="00FA65C1">
              <w:rPr>
                <w:bCs/>
                <w:color w:val="000000"/>
                <w:sz w:val="17"/>
                <w:szCs w:val="17"/>
              </w:rPr>
              <w:t xml:space="preserve">4. Meta synthesis of lessons learned from UNFPA </w:t>
            </w:r>
            <w:r w:rsidR="00F60603">
              <w:rPr>
                <w:bCs/>
                <w:color w:val="000000"/>
                <w:sz w:val="17"/>
                <w:szCs w:val="17"/>
              </w:rPr>
              <w:t>c</w:t>
            </w:r>
            <w:r w:rsidRPr="00FA65C1">
              <w:rPr>
                <w:bCs/>
                <w:color w:val="000000"/>
                <w:sz w:val="17"/>
                <w:szCs w:val="17"/>
              </w:rPr>
              <w:t xml:space="preserve">ountry </w:t>
            </w:r>
            <w:r w:rsidR="00F60603">
              <w:rPr>
                <w:bCs/>
                <w:color w:val="000000"/>
                <w:sz w:val="17"/>
                <w:szCs w:val="17"/>
              </w:rPr>
              <w:t>p</w:t>
            </w:r>
            <w:r w:rsidRPr="00FA65C1">
              <w:rPr>
                <w:bCs/>
                <w:color w:val="000000"/>
                <w:sz w:val="17"/>
                <w:szCs w:val="17"/>
              </w:rPr>
              <w:t xml:space="preserve">rogramme </w:t>
            </w:r>
            <w:r w:rsidR="00F60603">
              <w:rPr>
                <w:bCs/>
                <w:color w:val="000000"/>
                <w:sz w:val="17"/>
                <w:szCs w:val="17"/>
              </w:rPr>
              <w:t>e</w:t>
            </w:r>
            <w:r w:rsidRPr="00FA65C1">
              <w:rPr>
                <w:bCs/>
                <w:color w:val="000000"/>
                <w:sz w:val="17"/>
                <w:szCs w:val="17"/>
              </w:rPr>
              <w:t>valuations</w:t>
            </w:r>
            <w:r w:rsidR="00F60603">
              <w:rPr>
                <w:bCs/>
                <w:color w:val="000000"/>
                <w:sz w:val="17"/>
                <w:szCs w:val="17"/>
              </w:rPr>
              <w:t>,</w:t>
            </w:r>
            <w:r w:rsidRPr="00FA65C1">
              <w:rPr>
                <w:bCs/>
                <w:color w:val="000000"/>
                <w:sz w:val="17"/>
                <w:szCs w:val="17"/>
              </w:rPr>
              <w:t xml:space="preserve"> 2014-2015 </w:t>
            </w:r>
          </w:p>
        </w:tc>
        <w:tc>
          <w:tcPr>
            <w:tcW w:w="1952" w:type="dxa"/>
            <w:tcBorders>
              <w:top w:val="nil"/>
              <w:left w:val="nil"/>
              <w:bottom w:val="nil"/>
              <w:right w:val="nil"/>
            </w:tcBorders>
            <w:shd w:val="clear" w:color="auto" w:fill="auto"/>
            <w:noWrap/>
            <w:hideMark/>
          </w:tcPr>
          <w:p w14:paraId="4DF136CC" w14:textId="77777777" w:rsidR="00DC6556" w:rsidRPr="00FA65C1" w:rsidRDefault="00DC6556" w:rsidP="00AC2A4F">
            <w:pPr>
              <w:rPr>
                <w:color w:val="000000"/>
                <w:sz w:val="17"/>
                <w:szCs w:val="17"/>
              </w:rPr>
            </w:pPr>
            <w:r w:rsidRPr="00FA65C1">
              <w:rPr>
                <w:color w:val="000000"/>
                <w:sz w:val="17"/>
                <w:szCs w:val="17"/>
              </w:rPr>
              <w:t>Completed</w:t>
            </w:r>
          </w:p>
        </w:tc>
        <w:tc>
          <w:tcPr>
            <w:tcW w:w="1338" w:type="dxa"/>
            <w:tcBorders>
              <w:top w:val="nil"/>
              <w:left w:val="nil"/>
              <w:bottom w:val="nil"/>
              <w:right w:val="nil"/>
            </w:tcBorders>
            <w:shd w:val="clear" w:color="auto" w:fill="auto"/>
            <w:noWrap/>
            <w:hideMark/>
          </w:tcPr>
          <w:p w14:paraId="39D02154" w14:textId="77777777" w:rsidR="00DC6556" w:rsidRPr="00FA65C1" w:rsidRDefault="00DC6556" w:rsidP="00AC2A4F">
            <w:pPr>
              <w:rPr>
                <w:color w:val="000000"/>
                <w:sz w:val="17"/>
                <w:szCs w:val="17"/>
              </w:rPr>
            </w:pPr>
            <w:r w:rsidRPr="00FA65C1">
              <w:rPr>
                <w:color w:val="000000"/>
                <w:sz w:val="17"/>
                <w:szCs w:val="17"/>
              </w:rPr>
              <w:t>Not applicable</w:t>
            </w:r>
          </w:p>
        </w:tc>
        <w:tc>
          <w:tcPr>
            <w:tcW w:w="2396" w:type="dxa"/>
            <w:tcBorders>
              <w:top w:val="nil"/>
              <w:left w:val="nil"/>
              <w:bottom w:val="nil"/>
              <w:right w:val="nil"/>
            </w:tcBorders>
            <w:shd w:val="clear" w:color="auto" w:fill="auto"/>
            <w:hideMark/>
          </w:tcPr>
          <w:p w14:paraId="009B589B" w14:textId="669B9187" w:rsidR="00DC6556" w:rsidRPr="00FA65C1" w:rsidRDefault="00DC6556" w:rsidP="00B333A5">
            <w:pPr>
              <w:rPr>
                <w:color w:val="000000"/>
                <w:sz w:val="17"/>
                <w:szCs w:val="17"/>
              </w:rPr>
            </w:pPr>
            <w:r w:rsidRPr="00FA65C1">
              <w:rPr>
                <w:color w:val="000000"/>
                <w:sz w:val="17"/>
                <w:szCs w:val="17"/>
              </w:rPr>
              <w:t xml:space="preserve">Presented in framework of 2016 </w:t>
            </w:r>
            <w:r w:rsidR="00F60603">
              <w:rPr>
                <w:color w:val="000000"/>
                <w:sz w:val="17"/>
                <w:szCs w:val="17"/>
              </w:rPr>
              <w:t>a</w:t>
            </w:r>
            <w:r w:rsidRPr="00FA65C1">
              <w:rPr>
                <w:color w:val="000000"/>
                <w:sz w:val="17"/>
                <w:szCs w:val="17"/>
              </w:rPr>
              <w:t xml:space="preserve">nnual report of the evaluation function at </w:t>
            </w:r>
            <w:r w:rsidR="00F60603">
              <w:rPr>
                <w:color w:val="000000"/>
                <w:sz w:val="17"/>
                <w:szCs w:val="17"/>
              </w:rPr>
              <w:t>a</w:t>
            </w:r>
            <w:r w:rsidRPr="00FA65C1">
              <w:rPr>
                <w:color w:val="000000"/>
                <w:sz w:val="17"/>
                <w:szCs w:val="17"/>
              </w:rPr>
              <w:t>nnual session</w:t>
            </w:r>
            <w:r w:rsidR="00F60603">
              <w:rPr>
                <w:color w:val="000000"/>
                <w:sz w:val="17"/>
                <w:szCs w:val="17"/>
              </w:rPr>
              <w:t xml:space="preserve"> </w:t>
            </w:r>
            <w:r w:rsidR="00F60603" w:rsidRPr="00F60603">
              <w:rPr>
                <w:color w:val="000000"/>
                <w:sz w:val="17"/>
                <w:szCs w:val="17"/>
              </w:rPr>
              <w:t>2017</w:t>
            </w:r>
          </w:p>
        </w:tc>
      </w:tr>
      <w:tr w:rsidR="00DC6556" w:rsidRPr="00FA65C1" w14:paraId="664BA957" w14:textId="77777777" w:rsidTr="00090D43">
        <w:trPr>
          <w:trHeight w:val="850"/>
        </w:trPr>
        <w:tc>
          <w:tcPr>
            <w:tcW w:w="3866" w:type="dxa"/>
            <w:tcBorders>
              <w:top w:val="nil"/>
              <w:left w:val="nil"/>
              <w:bottom w:val="nil"/>
              <w:right w:val="nil"/>
            </w:tcBorders>
            <w:shd w:val="clear" w:color="auto" w:fill="auto"/>
            <w:hideMark/>
          </w:tcPr>
          <w:p w14:paraId="5EC6F5FE" w14:textId="4C9457A7" w:rsidR="00DC6556" w:rsidRPr="00FA65C1" w:rsidRDefault="00DC6556" w:rsidP="00AC2A4F">
            <w:pPr>
              <w:rPr>
                <w:bCs/>
                <w:color w:val="000000"/>
                <w:sz w:val="17"/>
                <w:szCs w:val="17"/>
              </w:rPr>
            </w:pPr>
            <w:r w:rsidRPr="00FA65C1">
              <w:rPr>
                <w:bCs/>
                <w:color w:val="000000"/>
                <w:sz w:val="17"/>
                <w:szCs w:val="17"/>
              </w:rPr>
              <w:t>5. Evaluability assessment of UNFPA-UNICEF global programme to accelerate action to end child marriage</w:t>
            </w:r>
          </w:p>
        </w:tc>
        <w:tc>
          <w:tcPr>
            <w:tcW w:w="1952" w:type="dxa"/>
            <w:tcBorders>
              <w:top w:val="nil"/>
              <w:left w:val="nil"/>
              <w:bottom w:val="nil"/>
              <w:right w:val="nil"/>
            </w:tcBorders>
            <w:shd w:val="clear" w:color="auto" w:fill="auto"/>
            <w:noWrap/>
            <w:hideMark/>
          </w:tcPr>
          <w:p w14:paraId="11D7EA71" w14:textId="77777777" w:rsidR="00DC6556" w:rsidRPr="00FA65C1" w:rsidRDefault="00DC6556" w:rsidP="00AC2A4F">
            <w:pPr>
              <w:rPr>
                <w:color w:val="000000"/>
                <w:sz w:val="17"/>
                <w:szCs w:val="17"/>
              </w:rPr>
            </w:pPr>
            <w:r w:rsidRPr="00FA65C1">
              <w:rPr>
                <w:color w:val="000000"/>
                <w:sz w:val="17"/>
                <w:szCs w:val="17"/>
              </w:rPr>
              <w:t>Completed</w:t>
            </w:r>
          </w:p>
        </w:tc>
        <w:tc>
          <w:tcPr>
            <w:tcW w:w="1338" w:type="dxa"/>
            <w:tcBorders>
              <w:top w:val="nil"/>
              <w:left w:val="nil"/>
              <w:bottom w:val="nil"/>
              <w:right w:val="nil"/>
            </w:tcBorders>
            <w:shd w:val="clear" w:color="auto" w:fill="auto"/>
            <w:noWrap/>
            <w:hideMark/>
          </w:tcPr>
          <w:p w14:paraId="2349AA5F" w14:textId="77777777" w:rsidR="00DC6556" w:rsidRPr="00FA65C1" w:rsidRDefault="00DC6556" w:rsidP="00AC2A4F">
            <w:pPr>
              <w:rPr>
                <w:color w:val="000000"/>
                <w:sz w:val="17"/>
                <w:szCs w:val="17"/>
              </w:rPr>
            </w:pPr>
            <w:r w:rsidRPr="00FA65C1">
              <w:rPr>
                <w:color w:val="000000"/>
                <w:sz w:val="17"/>
                <w:szCs w:val="17"/>
              </w:rPr>
              <w:t>Yes</w:t>
            </w:r>
          </w:p>
        </w:tc>
        <w:tc>
          <w:tcPr>
            <w:tcW w:w="2396" w:type="dxa"/>
            <w:tcBorders>
              <w:top w:val="nil"/>
              <w:left w:val="nil"/>
              <w:bottom w:val="nil"/>
              <w:right w:val="nil"/>
            </w:tcBorders>
            <w:shd w:val="clear" w:color="auto" w:fill="auto"/>
            <w:hideMark/>
          </w:tcPr>
          <w:p w14:paraId="5C19D6A0" w14:textId="7A7AA575" w:rsidR="00DC6556" w:rsidRPr="00FA65C1" w:rsidRDefault="00DC6556" w:rsidP="00AC2A4F">
            <w:pPr>
              <w:rPr>
                <w:color w:val="000000"/>
                <w:sz w:val="17"/>
                <w:szCs w:val="17"/>
              </w:rPr>
            </w:pPr>
            <w:r w:rsidRPr="00FA65C1">
              <w:rPr>
                <w:color w:val="000000"/>
                <w:sz w:val="17"/>
                <w:szCs w:val="17"/>
              </w:rPr>
              <w:t xml:space="preserve">Presented at the </w:t>
            </w:r>
            <w:r w:rsidR="00F60603">
              <w:rPr>
                <w:color w:val="000000"/>
                <w:sz w:val="17"/>
                <w:szCs w:val="17"/>
              </w:rPr>
              <w:t>s</w:t>
            </w:r>
            <w:r w:rsidRPr="00FA65C1">
              <w:rPr>
                <w:color w:val="000000"/>
                <w:sz w:val="17"/>
                <w:szCs w:val="17"/>
              </w:rPr>
              <w:t xml:space="preserve">teering </w:t>
            </w:r>
            <w:r w:rsidR="00F60603">
              <w:rPr>
                <w:color w:val="000000"/>
                <w:sz w:val="17"/>
                <w:szCs w:val="17"/>
              </w:rPr>
              <w:t>c</w:t>
            </w:r>
            <w:r w:rsidRPr="00FA65C1">
              <w:rPr>
                <w:color w:val="000000"/>
                <w:sz w:val="17"/>
                <w:szCs w:val="17"/>
              </w:rPr>
              <w:t xml:space="preserve">ommittee of the UNFPA/UNICEF joint programme on </w:t>
            </w:r>
            <w:r w:rsidR="00F60603">
              <w:rPr>
                <w:color w:val="000000"/>
                <w:sz w:val="17"/>
                <w:szCs w:val="17"/>
              </w:rPr>
              <w:t>c</w:t>
            </w:r>
            <w:r w:rsidRPr="00FA65C1">
              <w:rPr>
                <w:color w:val="000000"/>
                <w:sz w:val="17"/>
                <w:szCs w:val="17"/>
              </w:rPr>
              <w:t xml:space="preserve">hild </w:t>
            </w:r>
            <w:r w:rsidR="00F60603">
              <w:rPr>
                <w:color w:val="000000"/>
                <w:sz w:val="17"/>
                <w:szCs w:val="17"/>
              </w:rPr>
              <w:t>m</w:t>
            </w:r>
            <w:r w:rsidRPr="00FA65C1">
              <w:rPr>
                <w:color w:val="000000"/>
                <w:sz w:val="17"/>
                <w:szCs w:val="17"/>
              </w:rPr>
              <w:t xml:space="preserve">arriage </w:t>
            </w:r>
          </w:p>
        </w:tc>
      </w:tr>
      <w:tr w:rsidR="00DC6556" w:rsidRPr="00FA65C1" w14:paraId="284D6F60" w14:textId="77777777" w:rsidTr="00090D43">
        <w:trPr>
          <w:trHeight w:val="1020"/>
        </w:trPr>
        <w:tc>
          <w:tcPr>
            <w:tcW w:w="3866" w:type="dxa"/>
            <w:tcBorders>
              <w:top w:val="nil"/>
              <w:left w:val="nil"/>
              <w:bottom w:val="nil"/>
              <w:right w:val="nil"/>
            </w:tcBorders>
            <w:shd w:val="clear" w:color="auto" w:fill="auto"/>
            <w:hideMark/>
          </w:tcPr>
          <w:p w14:paraId="7FAC5A0D" w14:textId="77777777" w:rsidR="00DC6556" w:rsidRPr="00FA65C1" w:rsidRDefault="00DC6556" w:rsidP="00AC2A4F">
            <w:pPr>
              <w:rPr>
                <w:bCs/>
                <w:sz w:val="17"/>
                <w:szCs w:val="17"/>
              </w:rPr>
            </w:pPr>
            <w:r w:rsidRPr="00FA65C1">
              <w:rPr>
                <w:bCs/>
                <w:sz w:val="17"/>
                <w:szCs w:val="17"/>
              </w:rPr>
              <w:t>6. Evaluation of UNFPA support to comprehensive sexuality education programmes</w:t>
            </w:r>
          </w:p>
        </w:tc>
        <w:tc>
          <w:tcPr>
            <w:tcW w:w="1952" w:type="dxa"/>
            <w:tcBorders>
              <w:top w:val="nil"/>
              <w:left w:val="nil"/>
              <w:bottom w:val="nil"/>
              <w:right w:val="nil"/>
            </w:tcBorders>
            <w:shd w:val="clear" w:color="auto" w:fill="auto"/>
            <w:hideMark/>
          </w:tcPr>
          <w:p w14:paraId="120790B3" w14:textId="38B61FF5" w:rsidR="00DC6556" w:rsidRPr="00FA65C1" w:rsidRDefault="00DC6556" w:rsidP="00AC2A4F">
            <w:pPr>
              <w:rPr>
                <w:sz w:val="17"/>
                <w:szCs w:val="17"/>
              </w:rPr>
            </w:pPr>
            <w:r w:rsidRPr="00FA65C1">
              <w:rPr>
                <w:sz w:val="17"/>
                <w:szCs w:val="17"/>
              </w:rPr>
              <w:t>Cancelled, as this item will be addressed in</w:t>
            </w:r>
            <w:r w:rsidR="00F60603">
              <w:rPr>
                <w:sz w:val="17"/>
                <w:szCs w:val="17"/>
              </w:rPr>
              <w:t xml:space="preserve"> a</w:t>
            </w:r>
            <w:r w:rsidRPr="00FA65C1">
              <w:rPr>
                <w:sz w:val="17"/>
                <w:szCs w:val="17"/>
              </w:rPr>
              <w:t xml:space="preserve"> forthcoming evaluatio</w:t>
            </w:r>
            <w:r w:rsidR="00090D43">
              <w:rPr>
                <w:sz w:val="17"/>
                <w:szCs w:val="17"/>
              </w:rPr>
              <w:t>n on gender equality and women’</w:t>
            </w:r>
            <w:r w:rsidRPr="00FA65C1">
              <w:rPr>
                <w:sz w:val="17"/>
                <w:szCs w:val="17"/>
              </w:rPr>
              <w:t>s empowerment</w:t>
            </w:r>
          </w:p>
        </w:tc>
        <w:tc>
          <w:tcPr>
            <w:tcW w:w="1338" w:type="dxa"/>
            <w:tcBorders>
              <w:top w:val="nil"/>
              <w:left w:val="nil"/>
              <w:bottom w:val="nil"/>
              <w:right w:val="nil"/>
            </w:tcBorders>
            <w:shd w:val="clear" w:color="auto" w:fill="auto"/>
            <w:noWrap/>
            <w:hideMark/>
          </w:tcPr>
          <w:p w14:paraId="4746CCC3" w14:textId="77777777" w:rsidR="00DC6556" w:rsidRPr="00FA65C1" w:rsidRDefault="00DC6556" w:rsidP="00AC2A4F">
            <w:pPr>
              <w:rPr>
                <w:sz w:val="17"/>
                <w:szCs w:val="17"/>
              </w:rPr>
            </w:pPr>
            <w:r w:rsidRPr="00FA65C1">
              <w:rPr>
                <w:sz w:val="17"/>
                <w:szCs w:val="17"/>
              </w:rPr>
              <w:t>Not applicable</w:t>
            </w:r>
          </w:p>
        </w:tc>
        <w:tc>
          <w:tcPr>
            <w:tcW w:w="2396" w:type="dxa"/>
            <w:tcBorders>
              <w:top w:val="nil"/>
              <w:left w:val="nil"/>
              <w:bottom w:val="nil"/>
              <w:right w:val="nil"/>
            </w:tcBorders>
            <w:shd w:val="clear" w:color="auto" w:fill="auto"/>
            <w:hideMark/>
          </w:tcPr>
          <w:p w14:paraId="022A355A" w14:textId="77777777" w:rsidR="00DC6556" w:rsidRPr="00FA65C1" w:rsidRDefault="00DC6556" w:rsidP="00AC2A4F">
            <w:pPr>
              <w:rPr>
                <w:sz w:val="17"/>
                <w:szCs w:val="17"/>
              </w:rPr>
            </w:pPr>
            <w:r w:rsidRPr="00FA65C1">
              <w:rPr>
                <w:sz w:val="17"/>
                <w:szCs w:val="17"/>
              </w:rPr>
              <w:t>Not applicable</w:t>
            </w:r>
          </w:p>
        </w:tc>
      </w:tr>
      <w:tr w:rsidR="00DC6556" w:rsidRPr="00FA65C1" w14:paraId="4C23181E" w14:textId="77777777" w:rsidTr="00B333A5">
        <w:trPr>
          <w:trHeight w:val="567"/>
        </w:trPr>
        <w:tc>
          <w:tcPr>
            <w:tcW w:w="3866" w:type="dxa"/>
            <w:tcBorders>
              <w:top w:val="nil"/>
              <w:left w:val="nil"/>
              <w:bottom w:val="nil"/>
              <w:right w:val="nil"/>
            </w:tcBorders>
            <w:shd w:val="clear" w:color="auto" w:fill="auto"/>
          </w:tcPr>
          <w:p w14:paraId="1C6A0E0D" w14:textId="7E20E1D9" w:rsidR="00DC6556" w:rsidRPr="00FA65C1" w:rsidRDefault="00DC6556" w:rsidP="00AC2A4F">
            <w:pPr>
              <w:rPr>
                <w:bCs/>
                <w:color w:val="000000"/>
                <w:sz w:val="17"/>
                <w:szCs w:val="17"/>
              </w:rPr>
            </w:pPr>
            <w:r w:rsidRPr="00FA65C1">
              <w:rPr>
                <w:bCs/>
                <w:color w:val="000000"/>
                <w:sz w:val="17"/>
                <w:szCs w:val="17"/>
              </w:rPr>
              <w:t>7. Meta-analysis of the engagement of UNFPA in highly vulnerable contexts</w:t>
            </w:r>
            <w:r w:rsidR="00EB76BD">
              <w:rPr>
                <w:bCs/>
                <w:color w:val="000000"/>
                <w:sz w:val="17"/>
                <w:szCs w:val="17"/>
              </w:rPr>
              <w:t xml:space="preserve"> </w:t>
            </w:r>
          </w:p>
        </w:tc>
        <w:tc>
          <w:tcPr>
            <w:tcW w:w="1952" w:type="dxa"/>
            <w:tcBorders>
              <w:top w:val="nil"/>
              <w:left w:val="nil"/>
              <w:bottom w:val="nil"/>
              <w:right w:val="nil"/>
            </w:tcBorders>
            <w:shd w:val="clear" w:color="auto" w:fill="auto"/>
            <w:noWrap/>
          </w:tcPr>
          <w:p w14:paraId="2BA9C4E4" w14:textId="77777777" w:rsidR="00DC6556" w:rsidRPr="00FA65C1" w:rsidRDefault="00DC6556" w:rsidP="00AC2A4F">
            <w:pPr>
              <w:rPr>
                <w:iCs/>
                <w:color w:val="000000"/>
                <w:sz w:val="17"/>
                <w:szCs w:val="17"/>
              </w:rPr>
            </w:pPr>
            <w:r w:rsidRPr="00FA65C1">
              <w:rPr>
                <w:iCs/>
                <w:color w:val="000000"/>
                <w:sz w:val="17"/>
                <w:szCs w:val="17"/>
              </w:rPr>
              <w:t>Completed</w:t>
            </w:r>
          </w:p>
        </w:tc>
        <w:tc>
          <w:tcPr>
            <w:tcW w:w="1338" w:type="dxa"/>
            <w:tcBorders>
              <w:top w:val="nil"/>
              <w:left w:val="nil"/>
              <w:bottom w:val="nil"/>
              <w:right w:val="nil"/>
            </w:tcBorders>
            <w:shd w:val="clear" w:color="auto" w:fill="auto"/>
            <w:noWrap/>
          </w:tcPr>
          <w:p w14:paraId="2AF33333" w14:textId="77777777" w:rsidR="00DC6556" w:rsidRPr="00FA65C1" w:rsidRDefault="00DC6556" w:rsidP="00AC2A4F">
            <w:pPr>
              <w:rPr>
                <w:color w:val="000000"/>
                <w:sz w:val="17"/>
                <w:szCs w:val="17"/>
              </w:rPr>
            </w:pPr>
            <w:r w:rsidRPr="00FA65C1">
              <w:rPr>
                <w:color w:val="000000"/>
                <w:sz w:val="17"/>
                <w:szCs w:val="17"/>
              </w:rPr>
              <w:t>Not applicable</w:t>
            </w:r>
          </w:p>
        </w:tc>
        <w:tc>
          <w:tcPr>
            <w:tcW w:w="2396" w:type="dxa"/>
            <w:tcBorders>
              <w:top w:val="nil"/>
              <w:left w:val="nil"/>
              <w:bottom w:val="nil"/>
              <w:right w:val="nil"/>
            </w:tcBorders>
            <w:shd w:val="clear" w:color="auto" w:fill="auto"/>
          </w:tcPr>
          <w:p w14:paraId="4EFFF33C" w14:textId="2FD43457" w:rsidR="00DC6556" w:rsidRPr="00FA65C1" w:rsidRDefault="00DC6556" w:rsidP="00AC2A4F">
            <w:pPr>
              <w:rPr>
                <w:color w:val="000000"/>
                <w:sz w:val="17"/>
                <w:szCs w:val="17"/>
              </w:rPr>
            </w:pPr>
            <w:r w:rsidRPr="00FA65C1">
              <w:rPr>
                <w:color w:val="000000"/>
                <w:sz w:val="17"/>
                <w:szCs w:val="17"/>
              </w:rPr>
              <w:t xml:space="preserve">To be presented </w:t>
            </w:r>
            <w:r w:rsidR="00F60603">
              <w:rPr>
                <w:color w:val="000000"/>
                <w:sz w:val="17"/>
                <w:szCs w:val="17"/>
              </w:rPr>
              <w:t>with</w:t>
            </w:r>
            <w:r w:rsidRPr="00FA65C1">
              <w:rPr>
                <w:color w:val="000000"/>
                <w:sz w:val="17"/>
                <w:szCs w:val="17"/>
              </w:rPr>
              <w:t xml:space="preserve">in the framework of the 2017 </w:t>
            </w:r>
            <w:r w:rsidR="00F60603">
              <w:rPr>
                <w:color w:val="000000"/>
                <w:sz w:val="17"/>
                <w:szCs w:val="17"/>
              </w:rPr>
              <w:t>a</w:t>
            </w:r>
            <w:r w:rsidRPr="00FA65C1">
              <w:rPr>
                <w:color w:val="000000"/>
                <w:sz w:val="17"/>
                <w:szCs w:val="17"/>
              </w:rPr>
              <w:t xml:space="preserve">nnual report of the evaluation function at the </w:t>
            </w:r>
            <w:r w:rsidR="00F60603">
              <w:rPr>
                <w:color w:val="000000"/>
                <w:sz w:val="17"/>
                <w:szCs w:val="17"/>
              </w:rPr>
              <w:t>a</w:t>
            </w:r>
            <w:r w:rsidRPr="00FA65C1">
              <w:rPr>
                <w:color w:val="000000"/>
                <w:sz w:val="17"/>
                <w:szCs w:val="17"/>
              </w:rPr>
              <w:t>nnual session</w:t>
            </w:r>
            <w:r w:rsidR="00F60603">
              <w:rPr>
                <w:color w:val="000000"/>
                <w:sz w:val="17"/>
                <w:szCs w:val="17"/>
              </w:rPr>
              <w:t xml:space="preserve"> </w:t>
            </w:r>
            <w:r w:rsidR="00F60603" w:rsidRPr="00F60603">
              <w:rPr>
                <w:color w:val="000000"/>
                <w:sz w:val="17"/>
                <w:szCs w:val="17"/>
              </w:rPr>
              <w:t>2018</w:t>
            </w:r>
          </w:p>
        </w:tc>
      </w:tr>
      <w:tr w:rsidR="00DC6556" w:rsidRPr="00FA65C1" w14:paraId="1BF51CD5" w14:textId="77777777" w:rsidTr="00B333A5">
        <w:trPr>
          <w:trHeight w:val="567"/>
        </w:trPr>
        <w:tc>
          <w:tcPr>
            <w:tcW w:w="3866" w:type="dxa"/>
            <w:tcBorders>
              <w:top w:val="nil"/>
              <w:left w:val="nil"/>
              <w:bottom w:val="nil"/>
              <w:right w:val="nil"/>
            </w:tcBorders>
            <w:shd w:val="clear" w:color="auto" w:fill="auto"/>
            <w:hideMark/>
          </w:tcPr>
          <w:p w14:paraId="79611023" w14:textId="77777777" w:rsidR="00DC6556" w:rsidRPr="00FA65C1" w:rsidRDefault="00DC6556" w:rsidP="00AC2A4F">
            <w:pPr>
              <w:rPr>
                <w:bCs/>
                <w:color w:val="000000"/>
                <w:sz w:val="17"/>
                <w:szCs w:val="17"/>
              </w:rPr>
            </w:pPr>
            <w:r w:rsidRPr="00FA65C1">
              <w:rPr>
                <w:bCs/>
                <w:color w:val="000000"/>
                <w:sz w:val="17"/>
                <w:szCs w:val="17"/>
              </w:rPr>
              <w:t xml:space="preserve">8. Midterm evaluation of the UNFPA supplies programme </w:t>
            </w:r>
          </w:p>
        </w:tc>
        <w:tc>
          <w:tcPr>
            <w:tcW w:w="1952" w:type="dxa"/>
            <w:tcBorders>
              <w:top w:val="nil"/>
              <w:left w:val="nil"/>
              <w:bottom w:val="nil"/>
              <w:right w:val="nil"/>
            </w:tcBorders>
            <w:shd w:val="clear" w:color="auto" w:fill="auto"/>
            <w:noWrap/>
            <w:hideMark/>
          </w:tcPr>
          <w:p w14:paraId="1BB4F55F" w14:textId="77777777" w:rsidR="00DC6556" w:rsidRPr="00FA65C1" w:rsidRDefault="00DC6556" w:rsidP="00AC2A4F">
            <w:pPr>
              <w:rPr>
                <w:iCs/>
                <w:color w:val="000000"/>
                <w:sz w:val="17"/>
                <w:szCs w:val="17"/>
              </w:rPr>
            </w:pPr>
            <w:r w:rsidRPr="00FA65C1">
              <w:rPr>
                <w:iCs/>
                <w:color w:val="000000"/>
                <w:sz w:val="17"/>
                <w:szCs w:val="17"/>
              </w:rPr>
              <w:t>On track</w:t>
            </w:r>
          </w:p>
        </w:tc>
        <w:tc>
          <w:tcPr>
            <w:tcW w:w="1338" w:type="dxa"/>
            <w:tcBorders>
              <w:top w:val="nil"/>
              <w:left w:val="nil"/>
              <w:bottom w:val="nil"/>
              <w:right w:val="nil"/>
            </w:tcBorders>
            <w:shd w:val="clear" w:color="auto" w:fill="auto"/>
            <w:noWrap/>
            <w:hideMark/>
          </w:tcPr>
          <w:p w14:paraId="0835EB4C" w14:textId="77777777" w:rsidR="00DC6556" w:rsidRPr="00FA65C1" w:rsidRDefault="00DC6556" w:rsidP="00AC2A4F">
            <w:pPr>
              <w:rPr>
                <w:color w:val="000000"/>
                <w:sz w:val="17"/>
                <w:szCs w:val="17"/>
              </w:rPr>
            </w:pPr>
          </w:p>
        </w:tc>
        <w:tc>
          <w:tcPr>
            <w:tcW w:w="2396" w:type="dxa"/>
            <w:tcBorders>
              <w:top w:val="nil"/>
              <w:left w:val="nil"/>
              <w:bottom w:val="nil"/>
              <w:right w:val="nil"/>
            </w:tcBorders>
            <w:shd w:val="clear" w:color="auto" w:fill="auto"/>
            <w:hideMark/>
          </w:tcPr>
          <w:p w14:paraId="1790756A" w14:textId="77777777" w:rsidR="00DC6556" w:rsidRPr="00FA65C1" w:rsidRDefault="00DC6556" w:rsidP="00AC2A4F">
            <w:pPr>
              <w:rPr>
                <w:color w:val="000000"/>
                <w:sz w:val="17"/>
                <w:szCs w:val="17"/>
              </w:rPr>
            </w:pPr>
          </w:p>
        </w:tc>
      </w:tr>
      <w:tr w:rsidR="00DC6556" w:rsidRPr="00FA65C1" w14:paraId="7FE98414" w14:textId="77777777" w:rsidTr="00B333A5">
        <w:trPr>
          <w:trHeight w:val="567"/>
        </w:trPr>
        <w:tc>
          <w:tcPr>
            <w:tcW w:w="3866" w:type="dxa"/>
            <w:tcBorders>
              <w:top w:val="nil"/>
              <w:left w:val="nil"/>
              <w:bottom w:val="nil"/>
              <w:right w:val="nil"/>
            </w:tcBorders>
            <w:shd w:val="clear" w:color="auto" w:fill="auto"/>
            <w:hideMark/>
          </w:tcPr>
          <w:p w14:paraId="1EDFFE57" w14:textId="52DE6A6C" w:rsidR="00DC6556" w:rsidRPr="00FA65C1" w:rsidRDefault="00DC6556" w:rsidP="00AC2A4F">
            <w:pPr>
              <w:rPr>
                <w:bCs/>
                <w:color w:val="000000"/>
                <w:sz w:val="17"/>
                <w:szCs w:val="17"/>
              </w:rPr>
            </w:pPr>
            <w:r w:rsidRPr="00FA65C1">
              <w:rPr>
                <w:bCs/>
                <w:color w:val="000000"/>
                <w:sz w:val="17"/>
                <w:szCs w:val="17"/>
              </w:rPr>
              <w:t xml:space="preserve">9. Evaluation of the UNFPA response to the Syria crisis </w:t>
            </w:r>
          </w:p>
        </w:tc>
        <w:tc>
          <w:tcPr>
            <w:tcW w:w="1952" w:type="dxa"/>
            <w:tcBorders>
              <w:top w:val="nil"/>
              <w:left w:val="nil"/>
              <w:bottom w:val="nil"/>
              <w:right w:val="nil"/>
            </w:tcBorders>
            <w:shd w:val="clear" w:color="auto" w:fill="auto"/>
            <w:noWrap/>
            <w:hideMark/>
          </w:tcPr>
          <w:p w14:paraId="122D1538" w14:textId="77777777" w:rsidR="00DC6556" w:rsidRPr="00FA65C1" w:rsidRDefault="00DC6556" w:rsidP="00AC2A4F">
            <w:pPr>
              <w:rPr>
                <w:iCs/>
                <w:color w:val="000000"/>
                <w:sz w:val="17"/>
                <w:szCs w:val="17"/>
              </w:rPr>
            </w:pPr>
            <w:r w:rsidRPr="00FA65C1">
              <w:rPr>
                <w:iCs/>
                <w:color w:val="000000"/>
                <w:sz w:val="17"/>
                <w:szCs w:val="17"/>
              </w:rPr>
              <w:t>On track</w:t>
            </w:r>
          </w:p>
        </w:tc>
        <w:tc>
          <w:tcPr>
            <w:tcW w:w="1338" w:type="dxa"/>
            <w:tcBorders>
              <w:top w:val="nil"/>
              <w:left w:val="nil"/>
              <w:bottom w:val="nil"/>
              <w:right w:val="nil"/>
            </w:tcBorders>
            <w:shd w:val="clear" w:color="auto" w:fill="auto"/>
            <w:noWrap/>
            <w:hideMark/>
          </w:tcPr>
          <w:p w14:paraId="6693AF00" w14:textId="77777777" w:rsidR="00DC6556" w:rsidRPr="00FA65C1" w:rsidRDefault="00DC6556" w:rsidP="00AC2A4F">
            <w:pPr>
              <w:rPr>
                <w:color w:val="000000"/>
                <w:sz w:val="17"/>
                <w:szCs w:val="17"/>
              </w:rPr>
            </w:pPr>
          </w:p>
        </w:tc>
        <w:tc>
          <w:tcPr>
            <w:tcW w:w="2396" w:type="dxa"/>
            <w:tcBorders>
              <w:top w:val="nil"/>
              <w:left w:val="nil"/>
              <w:bottom w:val="nil"/>
              <w:right w:val="nil"/>
            </w:tcBorders>
            <w:shd w:val="clear" w:color="auto" w:fill="auto"/>
            <w:hideMark/>
          </w:tcPr>
          <w:p w14:paraId="4AAD92E7" w14:textId="77777777" w:rsidR="00DC6556" w:rsidRPr="00FA65C1" w:rsidRDefault="00DC6556" w:rsidP="00AC2A4F">
            <w:pPr>
              <w:rPr>
                <w:color w:val="000000"/>
                <w:sz w:val="17"/>
                <w:szCs w:val="17"/>
              </w:rPr>
            </w:pPr>
          </w:p>
        </w:tc>
      </w:tr>
      <w:tr w:rsidR="00DC6556" w:rsidRPr="00FA65C1" w14:paraId="52FC7059" w14:textId="77777777" w:rsidTr="00090D43">
        <w:trPr>
          <w:trHeight w:val="850"/>
        </w:trPr>
        <w:tc>
          <w:tcPr>
            <w:tcW w:w="3866" w:type="dxa"/>
            <w:tcBorders>
              <w:top w:val="nil"/>
              <w:left w:val="nil"/>
              <w:bottom w:val="nil"/>
              <w:right w:val="nil"/>
            </w:tcBorders>
            <w:shd w:val="clear" w:color="auto" w:fill="auto"/>
            <w:hideMark/>
          </w:tcPr>
          <w:p w14:paraId="1D3C7AE2" w14:textId="0BCAFAA3" w:rsidR="00DC6556" w:rsidRPr="00FA65C1" w:rsidRDefault="00DC6556" w:rsidP="00AC2A4F">
            <w:pPr>
              <w:rPr>
                <w:bCs/>
                <w:color w:val="000000"/>
                <w:sz w:val="17"/>
                <w:szCs w:val="17"/>
              </w:rPr>
            </w:pPr>
            <w:r w:rsidRPr="00FA65C1">
              <w:rPr>
                <w:bCs/>
                <w:color w:val="000000"/>
                <w:sz w:val="17"/>
                <w:szCs w:val="17"/>
              </w:rPr>
              <w:t>10. Evaluation of UNFPA support to the prevention, response to and elimination of gender-based violence and harmful practices, including in humanitarian settings</w:t>
            </w:r>
          </w:p>
        </w:tc>
        <w:tc>
          <w:tcPr>
            <w:tcW w:w="1952" w:type="dxa"/>
            <w:tcBorders>
              <w:top w:val="nil"/>
              <w:left w:val="nil"/>
              <w:bottom w:val="nil"/>
              <w:right w:val="nil"/>
            </w:tcBorders>
            <w:shd w:val="clear" w:color="auto" w:fill="auto"/>
            <w:noWrap/>
            <w:hideMark/>
          </w:tcPr>
          <w:p w14:paraId="3442EA8C" w14:textId="77777777" w:rsidR="00DC6556" w:rsidRPr="00FA65C1" w:rsidRDefault="00DC6556" w:rsidP="00AC2A4F">
            <w:pPr>
              <w:rPr>
                <w:iCs/>
                <w:color w:val="000000"/>
                <w:sz w:val="17"/>
                <w:szCs w:val="17"/>
              </w:rPr>
            </w:pPr>
            <w:r w:rsidRPr="00FA65C1">
              <w:rPr>
                <w:iCs/>
                <w:color w:val="000000"/>
                <w:sz w:val="17"/>
                <w:szCs w:val="17"/>
              </w:rPr>
              <w:t>On track</w:t>
            </w:r>
          </w:p>
        </w:tc>
        <w:tc>
          <w:tcPr>
            <w:tcW w:w="1338" w:type="dxa"/>
            <w:tcBorders>
              <w:top w:val="nil"/>
              <w:left w:val="nil"/>
              <w:bottom w:val="nil"/>
              <w:right w:val="nil"/>
            </w:tcBorders>
            <w:shd w:val="clear" w:color="auto" w:fill="auto"/>
            <w:noWrap/>
            <w:hideMark/>
          </w:tcPr>
          <w:p w14:paraId="062CCA6A" w14:textId="77777777" w:rsidR="00DC6556" w:rsidRPr="00FA65C1" w:rsidRDefault="00DC6556" w:rsidP="00AC2A4F">
            <w:pPr>
              <w:rPr>
                <w:color w:val="000000"/>
                <w:sz w:val="17"/>
                <w:szCs w:val="17"/>
              </w:rPr>
            </w:pPr>
          </w:p>
        </w:tc>
        <w:tc>
          <w:tcPr>
            <w:tcW w:w="2396" w:type="dxa"/>
            <w:tcBorders>
              <w:top w:val="nil"/>
              <w:left w:val="nil"/>
              <w:bottom w:val="nil"/>
              <w:right w:val="nil"/>
            </w:tcBorders>
            <w:shd w:val="clear" w:color="auto" w:fill="auto"/>
            <w:hideMark/>
          </w:tcPr>
          <w:p w14:paraId="7F5DF7E8" w14:textId="77777777" w:rsidR="00DC6556" w:rsidRPr="00FA65C1" w:rsidRDefault="00DC6556" w:rsidP="00AC2A4F">
            <w:pPr>
              <w:rPr>
                <w:color w:val="000000"/>
                <w:sz w:val="17"/>
                <w:szCs w:val="17"/>
              </w:rPr>
            </w:pPr>
          </w:p>
        </w:tc>
      </w:tr>
      <w:tr w:rsidR="00DC6556" w:rsidRPr="00FA65C1" w14:paraId="26F7F704" w14:textId="77777777" w:rsidTr="00B333A5">
        <w:trPr>
          <w:trHeight w:val="567"/>
        </w:trPr>
        <w:tc>
          <w:tcPr>
            <w:tcW w:w="3866" w:type="dxa"/>
            <w:tcBorders>
              <w:top w:val="nil"/>
              <w:left w:val="nil"/>
              <w:bottom w:val="nil"/>
              <w:right w:val="nil"/>
            </w:tcBorders>
            <w:shd w:val="clear" w:color="auto" w:fill="auto"/>
            <w:hideMark/>
          </w:tcPr>
          <w:p w14:paraId="396EE3EB" w14:textId="77777777" w:rsidR="00DC6556" w:rsidRPr="00FA65C1" w:rsidRDefault="00DC6556" w:rsidP="00AC2A4F">
            <w:pPr>
              <w:rPr>
                <w:bCs/>
                <w:color w:val="000000"/>
                <w:sz w:val="17"/>
                <w:szCs w:val="17"/>
              </w:rPr>
            </w:pPr>
            <w:r w:rsidRPr="00FA65C1">
              <w:rPr>
                <w:bCs/>
                <w:color w:val="000000"/>
                <w:sz w:val="17"/>
                <w:szCs w:val="17"/>
              </w:rPr>
              <w:t>11. Evaluation of results-based management approaches</w:t>
            </w:r>
          </w:p>
        </w:tc>
        <w:tc>
          <w:tcPr>
            <w:tcW w:w="1952" w:type="dxa"/>
            <w:tcBorders>
              <w:top w:val="nil"/>
              <w:left w:val="nil"/>
              <w:bottom w:val="nil"/>
              <w:right w:val="nil"/>
            </w:tcBorders>
            <w:shd w:val="clear" w:color="auto" w:fill="auto"/>
            <w:noWrap/>
            <w:hideMark/>
          </w:tcPr>
          <w:p w14:paraId="6E2A8330" w14:textId="77777777" w:rsidR="00DC6556" w:rsidRPr="00FA65C1" w:rsidRDefault="00DC6556" w:rsidP="00AC2A4F">
            <w:pPr>
              <w:rPr>
                <w:iCs/>
                <w:color w:val="000000"/>
                <w:sz w:val="17"/>
                <w:szCs w:val="17"/>
              </w:rPr>
            </w:pPr>
            <w:r w:rsidRPr="00FA65C1">
              <w:rPr>
                <w:iCs/>
                <w:color w:val="000000"/>
                <w:sz w:val="17"/>
                <w:szCs w:val="17"/>
              </w:rPr>
              <w:t>On track</w:t>
            </w:r>
          </w:p>
        </w:tc>
        <w:tc>
          <w:tcPr>
            <w:tcW w:w="1338" w:type="dxa"/>
            <w:tcBorders>
              <w:top w:val="nil"/>
              <w:left w:val="nil"/>
              <w:bottom w:val="nil"/>
              <w:right w:val="nil"/>
            </w:tcBorders>
            <w:shd w:val="clear" w:color="auto" w:fill="auto"/>
            <w:noWrap/>
            <w:hideMark/>
          </w:tcPr>
          <w:p w14:paraId="6FF7B9F4" w14:textId="77777777" w:rsidR="00DC6556" w:rsidRPr="00FA65C1" w:rsidRDefault="00DC6556" w:rsidP="00AC2A4F">
            <w:pPr>
              <w:rPr>
                <w:color w:val="000000"/>
                <w:sz w:val="17"/>
                <w:szCs w:val="17"/>
              </w:rPr>
            </w:pPr>
            <w:r w:rsidRPr="00FA65C1">
              <w:rPr>
                <w:color w:val="000000"/>
                <w:sz w:val="17"/>
                <w:szCs w:val="17"/>
              </w:rPr>
              <w:t> </w:t>
            </w:r>
          </w:p>
        </w:tc>
        <w:tc>
          <w:tcPr>
            <w:tcW w:w="2396" w:type="dxa"/>
            <w:tcBorders>
              <w:top w:val="nil"/>
              <w:left w:val="nil"/>
              <w:bottom w:val="nil"/>
              <w:right w:val="nil"/>
            </w:tcBorders>
            <w:shd w:val="clear" w:color="auto" w:fill="auto"/>
            <w:noWrap/>
            <w:hideMark/>
          </w:tcPr>
          <w:p w14:paraId="0DA5A6AD" w14:textId="77777777" w:rsidR="00DC6556" w:rsidRPr="00FA65C1" w:rsidRDefault="00DC6556" w:rsidP="00AC2A4F">
            <w:pPr>
              <w:rPr>
                <w:color w:val="000000"/>
                <w:sz w:val="17"/>
                <w:szCs w:val="17"/>
              </w:rPr>
            </w:pPr>
            <w:r w:rsidRPr="00FA65C1">
              <w:rPr>
                <w:color w:val="000000"/>
                <w:sz w:val="17"/>
                <w:szCs w:val="17"/>
              </w:rPr>
              <w:t> </w:t>
            </w:r>
          </w:p>
        </w:tc>
      </w:tr>
      <w:tr w:rsidR="00DC6556" w:rsidRPr="00FA65C1" w14:paraId="61A8DCFD" w14:textId="77777777" w:rsidTr="00090D43">
        <w:trPr>
          <w:trHeight w:val="680"/>
        </w:trPr>
        <w:tc>
          <w:tcPr>
            <w:tcW w:w="3866" w:type="dxa"/>
            <w:tcBorders>
              <w:top w:val="nil"/>
              <w:left w:val="nil"/>
              <w:bottom w:val="nil"/>
              <w:right w:val="nil"/>
            </w:tcBorders>
            <w:shd w:val="clear" w:color="auto" w:fill="auto"/>
          </w:tcPr>
          <w:p w14:paraId="11CC28D3" w14:textId="77777777" w:rsidR="00DC6556" w:rsidRPr="00FA65C1" w:rsidRDefault="00DC6556" w:rsidP="00AC2A4F">
            <w:pPr>
              <w:rPr>
                <w:bCs/>
                <w:color w:val="000000"/>
                <w:sz w:val="17"/>
                <w:szCs w:val="17"/>
              </w:rPr>
            </w:pPr>
            <w:r w:rsidRPr="00FA65C1">
              <w:rPr>
                <w:bCs/>
                <w:color w:val="000000"/>
                <w:sz w:val="17"/>
                <w:szCs w:val="17"/>
              </w:rPr>
              <w:t>12. Joint evaluation of the UNFPA-UNICEF Joint Programme on the Abandonment of Female Genital Mutilation: Accelerating Change (Phase I + II)</w:t>
            </w:r>
          </w:p>
        </w:tc>
        <w:tc>
          <w:tcPr>
            <w:tcW w:w="1952" w:type="dxa"/>
            <w:tcBorders>
              <w:top w:val="nil"/>
              <w:left w:val="nil"/>
              <w:bottom w:val="nil"/>
              <w:right w:val="nil"/>
            </w:tcBorders>
            <w:shd w:val="clear" w:color="auto" w:fill="auto"/>
            <w:noWrap/>
          </w:tcPr>
          <w:p w14:paraId="6046EE5B" w14:textId="77777777" w:rsidR="00DC6556" w:rsidRPr="00FA65C1" w:rsidRDefault="00DC6556" w:rsidP="00AC2A4F">
            <w:pPr>
              <w:rPr>
                <w:iCs/>
                <w:color w:val="000000"/>
                <w:sz w:val="17"/>
                <w:szCs w:val="17"/>
              </w:rPr>
            </w:pPr>
            <w:r w:rsidRPr="00FA65C1">
              <w:rPr>
                <w:iCs/>
                <w:color w:val="000000"/>
                <w:sz w:val="17"/>
                <w:szCs w:val="17"/>
              </w:rPr>
              <w:t>On track</w:t>
            </w:r>
          </w:p>
        </w:tc>
        <w:tc>
          <w:tcPr>
            <w:tcW w:w="1338" w:type="dxa"/>
            <w:tcBorders>
              <w:top w:val="nil"/>
              <w:left w:val="nil"/>
              <w:bottom w:val="nil"/>
              <w:right w:val="nil"/>
            </w:tcBorders>
            <w:shd w:val="clear" w:color="auto" w:fill="auto"/>
            <w:noWrap/>
          </w:tcPr>
          <w:p w14:paraId="1C3312BF" w14:textId="77777777" w:rsidR="00DC6556" w:rsidRPr="00FA65C1" w:rsidRDefault="00DC6556" w:rsidP="00AC2A4F">
            <w:pPr>
              <w:rPr>
                <w:color w:val="000000"/>
                <w:sz w:val="17"/>
                <w:szCs w:val="17"/>
              </w:rPr>
            </w:pPr>
          </w:p>
        </w:tc>
        <w:tc>
          <w:tcPr>
            <w:tcW w:w="2396" w:type="dxa"/>
            <w:tcBorders>
              <w:top w:val="nil"/>
              <w:left w:val="nil"/>
              <w:bottom w:val="nil"/>
              <w:right w:val="nil"/>
            </w:tcBorders>
            <w:shd w:val="clear" w:color="auto" w:fill="auto"/>
            <w:noWrap/>
          </w:tcPr>
          <w:p w14:paraId="6E62DC43" w14:textId="77777777" w:rsidR="00DC6556" w:rsidRPr="00FA65C1" w:rsidRDefault="00DC6556" w:rsidP="00AC2A4F">
            <w:pPr>
              <w:rPr>
                <w:color w:val="000000"/>
                <w:sz w:val="17"/>
                <w:szCs w:val="17"/>
              </w:rPr>
            </w:pPr>
          </w:p>
        </w:tc>
      </w:tr>
      <w:tr w:rsidR="00DC6556" w:rsidRPr="00FA65C1" w14:paraId="565AD754" w14:textId="77777777" w:rsidTr="00B333A5">
        <w:trPr>
          <w:trHeight w:val="567"/>
        </w:trPr>
        <w:tc>
          <w:tcPr>
            <w:tcW w:w="3866" w:type="dxa"/>
            <w:tcBorders>
              <w:top w:val="nil"/>
              <w:left w:val="nil"/>
              <w:bottom w:val="nil"/>
              <w:right w:val="nil"/>
            </w:tcBorders>
            <w:shd w:val="clear" w:color="auto" w:fill="auto"/>
          </w:tcPr>
          <w:p w14:paraId="2632D06B" w14:textId="77777777" w:rsidR="00DC6556" w:rsidRPr="00FA65C1" w:rsidRDefault="00DC6556" w:rsidP="00AC2A4F">
            <w:pPr>
              <w:rPr>
                <w:bCs/>
                <w:color w:val="000000"/>
                <w:sz w:val="17"/>
                <w:szCs w:val="17"/>
              </w:rPr>
            </w:pPr>
            <w:r w:rsidRPr="00FA65C1">
              <w:rPr>
                <w:bCs/>
                <w:color w:val="000000"/>
                <w:sz w:val="17"/>
                <w:szCs w:val="17"/>
              </w:rPr>
              <w:t>13. Evaluation of the UNFPA capacity to respond to humanitarian crisis</w:t>
            </w:r>
          </w:p>
        </w:tc>
        <w:tc>
          <w:tcPr>
            <w:tcW w:w="1952" w:type="dxa"/>
            <w:tcBorders>
              <w:top w:val="nil"/>
              <w:left w:val="nil"/>
              <w:bottom w:val="nil"/>
              <w:right w:val="nil"/>
            </w:tcBorders>
            <w:shd w:val="clear" w:color="auto" w:fill="auto"/>
            <w:noWrap/>
          </w:tcPr>
          <w:p w14:paraId="0672720A" w14:textId="77777777" w:rsidR="00DC6556" w:rsidRPr="00FA65C1" w:rsidRDefault="00DC6556" w:rsidP="00AC2A4F">
            <w:pPr>
              <w:rPr>
                <w:iCs/>
                <w:color w:val="000000"/>
                <w:sz w:val="17"/>
                <w:szCs w:val="17"/>
              </w:rPr>
            </w:pPr>
            <w:r w:rsidRPr="00FA65C1">
              <w:rPr>
                <w:iCs/>
                <w:color w:val="000000"/>
                <w:sz w:val="17"/>
                <w:szCs w:val="17"/>
              </w:rPr>
              <w:t>On track</w:t>
            </w:r>
          </w:p>
        </w:tc>
        <w:tc>
          <w:tcPr>
            <w:tcW w:w="1338" w:type="dxa"/>
            <w:tcBorders>
              <w:top w:val="nil"/>
              <w:left w:val="nil"/>
              <w:bottom w:val="nil"/>
              <w:right w:val="nil"/>
            </w:tcBorders>
            <w:shd w:val="clear" w:color="auto" w:fill="auto"/>
            <w:noWrap/>
          </w:tcPr>
          <w:p w14:paraId="6F8DA2F3" w14:textId="77777777" w:rsidR="00DC6556" w:rsidRPr="00FA65C1" w:rsidRDefault="00DC6556" w:rsidP="00AC2A4F">
            <w:pPr>
              <w:rPr>
                <w:color w:val="000000"/>
                <w:sz w:val="17"/>
                <w:szCs w:val="17"/>
              </w:rPr>
            </w:pPr>
          </w:p>
        </w:tc>
        <w:tc>
          <w:tcPr>
            <w:tcW w:w="2396" w:type="dxa"/>
            <w:tcBorders>
              <w:top w:val="nil"/>
              <w:left w:val="nil"/>
              <w:bottom w:val="nil"/>
              <w:right w:val="nil"/>
            </w:tcBorders>
            <w:shd w:val="clear" w:color="auto" w:fill="auto"/>
            <w:noWrap/>
          </w:tcPr>
          <w:p w14:paraId="27B142C2" w14:textId="77777777" w:rsidR="00DC6556" w:rsidRPr="00FA65C1" w:rsidRDefault="00DC6556" w:rsidP="00AC2A4F">
            <w:pPr>
              <w:rPr>
                <w:color w:val="000000"/>
                <w:sz w:val="17"/>
                <w:szCs w:val="17"/>
              </w:rPr>
            </w:pPr>
          </w:p>
        </w:tc>
      </w:tr>
      <w:tr w:rsidR="00DC6556" w:rsidRPr="00FA65C1" w14:paraId="0B16CE99" w14:textId="77777777" w:rsidTr="00B333A5">
        <w:trPr>
          <w:trHeight w:val="567"/>
        </w:trPr>
        <w:tc>
          <w:tcPr>
            <w:tcW w:w="3866" w:type="dxa"/>
            <w:tcBorders>
              <w:top w:val="nil"/>
              <w:left w:val="nil"/>
              <w:bottom w:val="double" w:sz="6" w:space="0" w:color="auto"/>
              <w:right w:val="nil"/>
            </w:tcBorders>
            <w:shd w:val="clear" w:color="auto" w:fill="auto"/>
          </w:tcPr>
          <w:p w14:paraId="76039CF6" w14:textId="675C4093" w:rsidR="00DC6556" w:rsidRPr="00FA65C1" w:rsidRDefault="00DC6556" w:rsidP="00AC2A4F">
            <w:pPr>
              <w:rPr>
                <w:bCs/>
                <w:color w:val="000000"/>
                <w:sz w:val="17"/>
                <w:szCs w:val="17"/>
              </w:rPr>
            </w:pPr>
            <w:r w:rsidRPr="00FA65C1">
              <w:rPr>
                <w:bCs/>
                <w:color w:val="000000"/>
                <w:sz w:val="17"/>
                <w:szCs w:val="17"/>
              </w:rPr>
              <w:t xml:space="preserve">14. System-wide inter-agency humanitarian evaluation of </w:t>
            </w:r>
            <w:r w:rsidR="005804B9">
              <w:rPr>
                <w:bCs/>
                <w:color w:val="000000"/>
                <w:sz w:val="17"/>
                <w:szCs w:val="17"/>
              </w:rPr>
              <w:t xml:space="preserve">United Nations </w:t>
            </w:r>
            <w:r w:rsidRPr="00FA65C1">
              <w:rPr>
                <w:bCs/>
                <w:color w:val="000000"/>
                <w:sz w:val="17"/>
                <w:szCs w:val="17"/>
              </w:rPr>
              <w:t>system response in Yemen</w:t>
            </w:r>
          </w:p>
        </w:tc>
        <w:tc>
          <w:tcPr>
            <w:tcW w:w="1952" w:type="dxa"/>
            <w:tcBorders>
              <w:top w:val="nil"/>
              <w:left w:val="nil"/>
              <w:bottom w:val="double" w:sz="6" w:space="0" w:color="auto"/>
              <w:right w:val="nil"/>
            </w:tcBorders>
            <w:shd w:val="clear" w:color="auto" w:fill="auto"/>
            <w:noWrap/>
          </w:tcPr>
          <w:p w14:paraId="03A97558" w14:textId="77777777" w:rsidR="00DC6556" w:rsidRPr="00FA65C1" w:rsidRDefault="00DC6556" w:rsidP="00AC2A4F">
            <w:pPr>
              <w:rPr>
                <w:iCs/>
                <w:color w:val="000000"/>
                <w:sz w:val="17"/>
                <w:szCs w:val="17"/>
              </w:rPr>
            </w:pPr>
            <w:r w:rsidRPr="00FA65C1">
              <w:rPr>
                <w:iCs/>
                <w:color w:val="000000"/>
                <w:sz w:val="17"/>
                <w:szCs w:val="17"/>
              </w:rPr>
              <w:t>On track</w:t>
            </w:r>
          </w:p>
        </w:tc>
        <w:tc>
          <w:tcPr>
            <w:tcW w:w="1338" w:type="dxa"/>
            <w:tcBorders>
              <w:top w:val="nil"/>
              <w:left w:val="nil"/>
              <w:bottom w:val="double" w:sz="6" w:space="0" w:color="auto"/>
              <w:right w:val="nil"/>
            </w:tcBorders>
            <w:shd w:val="clear" w:color="auto" w:fill="auto"/>
            <w:noWrap/>
          </w:tcPr>
          <w:p w14:paraId="17075AB5" w14:textId="77777777" w:rsidR="00DC6556" w:rsidRPr="00FA65C1" w:rsidRDefault="00DC6556" w:rsidP="00AC2A4F">
            <w:pPr>
              <w:rPr>
                <w:color w:val="000000"/>
                <w:sz w:val="17"/>
                <w:szCs w:val="17"/>
              </w:rPr>
            </w:pPr>
          </w:p>
        </w:tc>
        <w:tc>
          <w:tcPr>
            <w:tcW w:w="2396" w:type="dxa"/>
            <w:tcBorders>
              <w:top w:val="nil"/>
              <w:left w:val="nil"/>
              <w:bottom w:val="double" w:sz="6" w:space="0" w:color="auto"/>
              <w:right w:val="nil"/>
            </w:tcBorders>
            <w:shd w:val="clear" w:color="auto" w:fill="auto"/>
            <w:noWrap/>
          </w:tcPr>
          <w:p w14:paraId="102F8BE7" w14:textId="77777777" w:rsidR="00DC6556" w:rsidRPr="00FA65C1" w:rsidRDefault="00DC6556" w:rsidP="00AC2A4F">
            <w:pPr>
              <w:rPr>
                <w:color w:val="000000"/>
                <w:sz w:val="17"/>
                <w:szCs w:val="17"/>
              </w:rPr>
            </w:pPr>
          </w:p>
        </w:tc>
      </w:tr>
    </w:tbl>
    <w:tbl>
      <w:tblPr>
        <w:tblStyle w:val="TableGrid"/>
        <w:tblW w:w="0" w:type="auto"/>
        <w:tblInd w:w="1267" w:type="dxa"/>
        <w:tblLook w:val="04A0" w:firstRow="1" w:lastRow="0" w:firstColumn="1" w:lastColumn="0" w:noHBand="0" w:noVBand="1"/>
      </w:tblPr>
      <w:tblGrid>
        <w:gridCol w:w="8083"/>
      </w:tblGrid>
      <w:tr w:rsidR="00DC6556" w:rsidRPr="00991ED5" w14:paraId="40A454C3" w14:textId="77777777" w:rsidTr="00DC6556">
        <w:tc>
          <w:tcPr>
            <w:tcW w:w="8083" w:type="dxa"/>
            <w:tcBorders>
              <w:top w:val="nil"/>
              <w:left w:val="nil"/>
              <w:bottom w:val="nil"/>
              <w:right w:val="nil"/>
            </w:tcBorders>
          </w:tcPr>
          <w:p w14:paraId="345F21E6" w14:textId="77777777" w:rsidR="00DC6556" w:rsidRPr="00991ED5" w:rsidRDefault="00DC6556" w:rsidP="001003F6">
            <w:pPr>
              <w:pStyle w:val="NUM1para"/>
              <w:numPr>
                <w:ilvl w:val="0"/>
                <w:numId w:val="0"/>
              </w:numPr>
              <w:rPr>
                <w:sz w:val="16"/>
                <w:szCs w:val="16"/>
              </w:rPr>
            </w:pPr>
          </w:p>
        </w:tc>
      </w:tr>
    </w:tbl>
    <w:p w14:paraId="6C780ABB" w14:textId="77777777" w:rsidR="00DC6556" w:rsidRPr="00FA65C1" w:rsidRDefault="00DC6556" w:rsidP="00DC6556">
      <w:pPr>
        <w:pStyle w:val="Heading21"/>
      </w:pPr>
      <w:r w:rsidRPr="00FA65C1">
        <w:lastRenderedPageBreak/>
        <w:t>Use of corporate evaluations to foster change</w:t>
      </w:r>
    </w:p>
    <w:p w14:paraId="4AF8AC81" w14:textId="0D8A4BCB" w:rsidR="00DC6556" w:rsidRPr="00FA65C1" w:rsidRDefault="0004186F" w:rsidP="00DC6556">
      <w:pPr>
        <w:pStyle w:val="NUM1para"/>
      </w:pPr>
      <w:r>
        <w:t>In order to</w:t>
      </w:r>
      <w:r w:rsidR="00DC6556" w:rsidRPr="00FA65C1">
        <w:t xml:space="preserve"> report</w:t>
      </w:r>
      <w:r>
        <w:t xml:space="preserve"> </w:t>
      </w:r>
      <w:r w:rsidR="00DC6556" w:rsidRPr="00FA65C1">
        <w:t xml:space="preserve">not only on the </w:t>
      </w:r>
      <w:r w:rsidR="00DC6556" w:rsidRPr="00090D43">
        <w:rPr>
          <w:i/>
        </w:rPr>
        <w:t>normative quality</w:t>
      </w:r>
      <w:r w:rsidR="00DC6556" w:rsidRPr="00FA65C1">
        <w:t xml:space="preserve"> of the evaluation function –</w:t>
      </w:r>
      <w:r>
        <w:t xml:space="preserve"> </w:t>
      </w:r>
      <w:r w:rsidR="00DC6556" w:rsidRPr="00FA65C1">
        <w:t xml:space="preserve">its compliance to UNEG </w:t>
      </w:r>
      <w:r w:rsidR="00950FC5">
        <w:t>n</w:t>
      </w:r>
      <w:r w:rsidR="00DC6556" w:rsidRPr="00FA65C1">
        <w:t xml:space="preserve">orms and </w:t>
      </w:r>
      <w:r w:rsidR="00950FC5">
        <w:t>s</w:t>
      </w:r>
      <w:r w:rsidR="00DC6556" w:rsidRPr="00FA65C1">
        <w:t xml:space="preserve">tandards and to </w:t>
      </w:r>
      <w:r w:rsidR="00950FC5">
        <w:t>k</w:t>
      </w:r>
      <w:r w:rsidR="00DC6556" w:rsidRPr="00FA65C1">
        <w:t xml:space="preserve">ey </w:t>
      </w:r>
      <w:r w:rsidR="00950FC5">
        <w:t>p</w:t>
      </w:r>
      <w:r w:rsidR="00DC6556" w:rsidRPr="00FA65C1">
        <w:t xml:space="preserve">erformance </w:t>
      </w:r>
      <w:r w:rsidR="00950FC5">
        <w:t>i</w:t>
      </w:r>
      <w:r w:rsidR="00DC6556" w:rsidRPr="00FA65C1">
        <w:t>ndicators –</w:t>
      </w:r>
      <w:r>
        <w:t xml:space="preserve"> </w:t>
      </w:r>
      <w:r w:rsidR="00DC6556" w:rsidRPr="00FA65C1">
        <w:t xml:space="preserve">but also on its </w:t>
      </w:r>
      <w:r w:rsidR="00DC6556" w:rsidRPr="00090D43">
        <w:rPr>
          <w:i/>
        </w:rPr>
        <w:t>functional quality</w:t>
      </w:r>
      <w:r w:rsidR="00DC6556" w:rsidRPr="00FA65C1">
        <w:t xml:space="preserve"> –</w:t>
      </w:r>
      <w:r w:rsidR="00090D43">
        <w:t xml:space="preserve"> </w:t>
      </w:r>
      <w:r w:rsidR="00DC6556" w:rsidRPr="00FA65C1">
        <w:t>the value addition of the evaluation function</w:t>
      </w:r>
      <w:r w:rsidR="00090D43">
        <w:t xml:space="preserve"> –</w:t>
      </w:r>
      <w:r w:rsidR="00DC6556" w:rsidRPr="00FA65C1">
        <w:t xml:space="preserve"> </w:t>
      </w:r>
      <w:r w:rsidR="00950FC5">
        <w:t xml:space="preserve">the </w:t>
      </w:r>
      <w:r w:rsidR="00950FC5" w:rsidRPr="00950FC5">
        <w:t>Evaluation Office</w:t>
      </w:r>
      <w:r w:rsidR="00DC6556" w:rsidRPr="00950FC5">
        <w:t xml:space="preserve"> </w:t>
      </w:r>
      <w:r w:rsidR="00090D43">
        <w:t>has</w:t>
      </w:r>
      <w:r w:rsidR="00DC6556" w:rsidRPr="00FA65C1">
        <w:t xml:space="preserve"> start</w:t>
      </w:r>
      <w:r w:rsidR="00090D43">
        <w:t>ed</w:t>
      </w:r>
      <w:r w:rsidR="00DC6556" w:rsidRPr="00FA65C1">
        <w:t xml:space="preserve"> to report to the Executive Board</w:t>
      </w:r>
      <w:r>
        <w:t>, from this year onwards,</w:t>
      </w:r>
      <w:r w:rsidR="00DC6556" w:rsidRPr="00FA65C1">
        <w:t xml:space="preserve"> not only the implementation rate of management responses of evaluations, but </w:t>
      </w:r>
      <w:r w:rsidR="00090D43">
        <w:t>also</w:t>
      </w:r>
      <w:r w:rsidR="00DC6556" w:rsidRPr="00FA65C1">
        <w:t xml:space="preserve"> the changes (or lack of changes) in UNFPA policies, strategies and practices </w:t>
      </w:r>
      <w:r w:rsidR="00090D43">
        <w:t xml:space="preserve">to which </w:t>
      </w:r>
      <w:r w:rsidR="00DC6556" w:rsidRPr="00FA65C1">
        <w:t>corporate evaluations ha</w:t>
      </w:r>
      <w:r w:rsidR="00950FC5">
        <w:t xml:space="preserve">ve contributed. This year, the </w:t>
      </w:r>
      <w:r w:rsidR="00950FC5" w:rsidRPr="00950FC5">
        <w:t>Evaluation Office</w:t>
      </w:r>
      <w:r w:rsidR="00DC6556" w:rsidRPr="00950FC5">
        <w:t xml:space="preserve"> </w:t>
      </w:r>
      <w:r w:rsidR="00DC6556" w:rsidRPr="00FA65C1">
        <w:t>is reporting on the two corporate evaluations below.</w:t>
      </w:r>
    </w:p>
    <w:p w14:paraId="40FEB56B" w14:textId="275AA964" w:rsidR="00DC6556" w:rsidRPr="00FA65C1" w:rsidRDefault="00DC6556" w:rsidP="005B5BCD">
      <w:pPr>
        <w:pStyle w:val="Headingitalics"/>
      </w:pPr>
      <w:r w:rsidRPr="00FA65C1">
        <w:t>Evaluation of the architecture supporting the operational</w:t>
      </w:r>
      <w:r w:rsidR="005141F4">
        <w:t>ization</w:t>
      </w:r>
      <w:r w:rsidRPr="00FA65C1">
        <w:t xml:space="preserve"> of the UNFPA </w:t>
      </w:r>
      <w:r w:rsidR="005B5BCD" w:rsidRPr="00FA65C1">
        <w:t>s</w:t>
      </w:r>
      <w:r w:rsidRPr="00FA65C1">
        <w:t xml:space="preserve">trategic </w:t>
      </w:r>
      <w:r w:rsidR="005B5BCD" w:rsidRPr="00FA65C1">
        <w:t>p</w:t>
      </w:r>
      <w:r w:rsidRPr="00FA65C1">
        <w:t>lan (2014-2017)</w:t>
      </w:r>
    </w:p>
    <w:p w14:paraId="06829A93" w14:textId="34B53707" w:rsidR="00DC6556" w:rsidRPr="00FA65C1" w:rsidRDefault="00DC6556" w:rsidP="00DC6556">
      <w:pPr>
        <w:pStyle w:val="NUM1para"/>
      </w:pPr>
      <w:r w:rsidRPr="00FA65C1">
        <w:t>The main purpose of the evaluation of the architecture supporting the operational</w:t>
      </w:r>
      <w:r w:rsidR="005141F4">
        <w:t>ization</w:t>
      </w:r>
      <w:r w:rsidRPr="00FA65C1">
        <w:t xml:space="preserve"> of the UNFPA strategic plan, 2014-2017 was to inform the design of the UNFPA strategic plan, 2018-2021. Through regular interactions between the evaluation team and the UNFPA strategic plan development team, useful and timely information was provided throughout the evaluation process, ahead of the finalization of the evaluation report.</w:t>
      </w:r>
      <w:r w:rsidR="00EB76BD">
        <w:t xml:space="preserve"> </w:t>
      </w:r>
    </w:p>
    <w:p w14:paraId="5B709E91" w14:textId="3E44BD4C" w:rsidR="00DC6556" w:rsidRPr="00FA65C1" w:rsidRDefault="00B62B5A" w:rsidP="00DC6556">
      <w:pPr>
        <w:pStyle w:val="NUM1para"/>
      </w:pPr>
      <w:r>
        <w:t>In</w:t>
      </w:r>
      <w:r w:rsidR="00DC6556" w:rsidRPr="00FA65C1">
        <w:t xml:space="preserve"> response to the evaluation recommendation to revise the business model with regard to the modes of engagement approach, the UNFPA strategic plan, 2018-2021, clarifies that, with the exception of service delivery</w:t>
      </w:r>
      <w:r>
        <w:t xml:space="preserve"> (</w:t>
      </w:r>
      <w:r w:rsidR="00DC6556" w:rsidRPr="00FA65C1">
        <w:t>which will be reserved for countries in the red quadrant and countries in humanitarian settings</w:t>
      </w:r>
      <w:r>
        <w:t>)</w:t>
      </w:r>
      <w:r w:rsidR="00DC6556" w:rsidRPr="00FA65C1">
        <w:t>, all modes of engagement will now be made available to country offices regardless of their classification. The recommendation to develop and implement a comprehensive change management process has led to the establishment of an interdivisional working group, headed by the Deputy Executive Director for Management. The working group was tasked with the development and implementation of a change management plan for the entire organization as well as related communication products.</w:t>
      </w:r>
      <w:r w:rsidR="00EB76BD">
        <w:t xml:space="preserve"> </w:t>
      </w:r>
      <w:r w:rsidR="00DC6556" w:rsidRPr="00FA65C1">
        <w:t xml:space="preserve">Tasks currently carried out within the framework of the change management process include a comprehensive resources review and the development of an information and communication technologies plan. </w:t>
      </w:r>
    </w:p>
    <w:p w14:paraId="0A7FFE1D" w14:textId="77777777" w:rsidR="00DC6556" w:rsidRPr="00FA65C1" w:rsidRDefault="00DC6556" w:rsidP="005B5BCD">
      <w:pPr>
        <w:pStyle w:val="Headingitalics"/>
      </w:pPr>
      <w:r w:rsidRPr="00FA65C1">
        <w:t>Evaluation of UNFPA support to population and housing census data to inform decision-making and policy formulation (2005-2014)</w:t>
      </w:r>
    </w:p>
    <w:p w14:paraId="6B44656A" w14:textId="06AD30F8" w:rsidR="00DC6556" w:rsidRPr="00FA65C1" w:rsidRDefault="00DC6556" w:rsidP="00DC6556">
      <w:pPr>
        <w:pStyle w:val="NUM1para"/>
      </w:pPr>
      <w:r w:rsidRPr="00FA65C1">
        <w:t xml:space="preserve">The evaluation of UNFPA support to population and housing census data to inform decision-making and policy formulation (2005-2014) provided the foundation for </w:t>
      </w:r>
      <w:r w:rsidR="00B62B5A">
        <w:t xml:space="preserve">the </w:t>
      </w:r>
      <w:r w:rsidRPr="00FA65C1">
        <w:t>UNFPA 2020 census strategy. Specifically, in accordance with the recommendations, UNFPA built its strategy around seven key pillars: (</w:t>
      </w:r>
      <w:r w:rsidR="00B62B5A">
        <w:t>a</w:t>
      </w:r>
      <w:r w:rsidRPr="00FA65C1">
        <w:t>) streamlining the internal organizational structure; (</w:t>
      </w:r>
      <w:r w:rsidR="00B62B5A">
        <w:t>b</w:t>
      </w:r>
      <w:r w:rsidRPr="00FA65C1">
        <w:t>) rolling out structured census technical guidance; (</w:t>
      </w:r>
      <w:r w:rsidR="00B62B5A">
        <w:t>c</w:t>
      </w:r>
      <w:r w:rsidRPr="00FA65C1">
        <w:t>)</w:t>
      </w:r>
      <w:r w:rsidR="00EB76BD">
        <w:t xml:space="preserve"> </w:t>
      </w:r>
      <w:r w:rsidRPr="00FA65C1">
        <w:t>promoting integration of high</w:t>
      </w:r>
      <w:r w:rsidR="00B62B5A">
        <w:t>-</w:t>
      </w:r>
      <w:r w:rsidRPr="00FA65C1">
        <w:t>resolution geographic information system</w:t>
      </w:r>
      <w:r w:rsidR="00ED3382">
        <w:t>s</w:t>
      </w:r>
      <w:r w:rsidRPr="00FA65C1">
        <w:t xml:space="preserve"> in census</w:t>
      </w:r>
      <w:r w:rsidR="00ED3382">
        <w:t>es</w:t>
      </w:r>
      <w:r w:rsidRPr="00FA65C1">
        <w:t>; (</w:t>
      </w:r>
      <w:r w:rsidR="00ED3382">
        <w:t>d</w:t>
      </w:r>
      <w:r w:rsidRPr="00FA65C1">
        <w:t>) strengthening capacity for greater utilization of census data; (</w:t>
      </w:r>
      <w:r w:rsidR="00ED3382">
        <w:t>e</w:t>
      </w:r>
      <w:r w:rsidRPr="00FA65C1">
        <w:t>) promoting new and innovative census technologies and methodologies to estimate and generate population data for development; (</w:t>
      </w:r>
      <w:r w:rsidR="00ED3382">
        <w:t>f</w:t>
      </w:r>
      <w:r w:rsidRPr="00FA65C1">
        <w:t>) leveraging institutional partnerships at all levels; and (</w:t>
      </w:r>
      <w:r w:rsidR="00ED3382">
        <w:t>g</w:t>
      </w:r>
      <w:r w:rsidRPr="00FA65C1">
        <w:t>) strengthening resource mobilization.</w:t>
      </w:r>
      <w:r w:rsidR="00EB76BD">
        <w:t xml:space="preserve"> </w:t>
      </w:r>
    </w:p>
    <w:p w14:paraId="39F38D44" w14:textId="42D04C49" w:rsidR="00DC6556" w:rsidRPr="00FA65C1" w:rsidRDefault="00DC6556" w:rsidP="00DC6556">
      <w:pPr>
        <w:pStyle w:val="NUM1para"/>
      </w:pPr>
      <w:r w:rsidRPr="00FA65C1">
        <w:t>Following an evaluation recommendation, UNFPA has undertaken an assessment of in-house census expertise</w:t>
      </w:r>
      <w:r w:rsidR="00ED3382">
        <w:t>,</w:t>
      </w:r>
      <w:r w:rsidRPr="00FA65C1">
        <w:t xml:space="preserve"> and is designing a capacity development strategy to address existing gaps. Corporate guidelines on the qualifications needed by UNFPA staff to support </w:t>
      </w:r>
      <w:r w:rsidR="006C4CA7">
        <w:t xml:space="preserve">a </w:t>
      </w:r>
      <w:r w:rsidRPr="00FA65C1">
        <w:t xml:space="preserve">census </w:t>
      </w:r>
      <w:r w:rsidR="006C4CA7" w:rsidRPr="006C4CA7">
        <w:t xml:space="preserve">effectively </w:t>
      </w:r>
      <w:r w:rsidRPr="00FA65C1">
        <w:t xml:space="preserve">are being developed. In 2017, UNFPA invested in </w:t>
      </w:r>
      <w:r w:rsidR="00ED3382" w:rsidRPr="00ED3382">
        <w:t xml:space="preserve">regional workshops </w:t>
      </w:r>
      <w:r w:rsidR="00ED3382">
        <w:t xml:space="preserve">to strengthen </w:t>
      </w:r>
      <w:r w:rsidRPr="00FA65C1">
        <w:t xml:space="preserve">capacity on census. To ensure </w:t>
      </w:r>
      <w:r w:rsidR="00ED3382">
        <w:t>that</w:t>
      </w:r>
      <w:r w:rsidRPr="00FA65C1">
        <w:t xml:space="preserve"> capacity development and technical support me</w:t>
      </w:r>
      <w:r w:rsidR="00ED3382">
        <w:t>e</w:t>
      </w:r>
      <w:r w:rsidRPr="00FA65C1">
        <w:t xml:space="preserve">t </w:t>
      </w:r>
      <w:r w:rsidR="00ED3382">
        <w:t>a</w:t>
      </w:r>
      <w:r w:rsidRPr="00FA65C1">
        <w:t xml:space="preserve"> country’s need</w:t>
      </w:r>
      <w:r w:rsidR="00ED3382">
        <w:t>s</w:t>
      </w:r>
      <w:r w:rsidRPr="00FA65C1">
        <w:t>, UNFPA plans to establish a census roster for a rapid deployment to provide technical support to countries</w:t>
      </w:r>
      <w:r w:rsidR="00ED3382">
        <w:t xml:space="preserve"> (this is</w:t>
      </w:r>
      <w:r w:rsidRPr="00FA65C1">
        <w:t xml:space="preserve"> also a recommendation of the evaluation</w:t>
      </w:r>
      <w:r w:rsidR="00ED3382">
        <w:t>)</w:t>
      </w:r>
      <w:r w:rsidRPr="00FA65C1">
        <w:t xml:space="preserve">. In addition, UNFPA reduced duplication of efforts through an improved coordination of technical support to countries with the </w:t>
      </w:r>
      <w:r w:rsidR="005804B9">
        <w:t xml:space="preserve">United Nations </w:t>
      </w:r>
      <w:r w:rsidRPr="00FA65C1">
        <w:t>Statistical Division and the U</w:t>
      </w:r>
      <w:r w:rsidR="00B77DF8">
        <w:t xml:space="preserve">nited </w:t>
      </w:r>
      <w:r w:rsidRPr="00FA65C1">
        <w:t>S</w:t>
      </w:r>
      <w:r w:rsidR="00B77DF8">
        <w:t>tates</w:t>
      </w:r>
      <w:r w:rsidRPr="00FA65C1">
        <w:t xml:space="preserve"> Census Bureau under a newly established International Committee on Census Coordination. </w:t>
      </w:r>
      <w:r w:rsidR="00B77DF8">
        <w:t xml:space="preserve">A </w:t>
      </w:r>
      <w:r w:rsidRPr="00FA65C1">
        <w:t>UNFPA inter-divisional working group (led</w:t>
      </w:r>
      <w:r w:rsidR="00B77DF8">
        <w:t xml:space="preserve"> by</w:t>
      </w:r>
      <w:r w:rsidRPr="00FA65C1">
        <w:t xml:space="preserve"> the Population and Development Branch) started rolling out structured census technical guidance tools for multi-year planning purposes</w:t>
      </w:r>
      <w:r w:rsidR="00B77DF8">
        <w:t>,</w:t>
      </w:r>
      <w:r w:rsidRPr="00FA65C1">
        <w:t xml:space="preserve"> to guide UNFPA country offices in supporting </w:t>
      </w:r>
      <w:r w:rsidR="00B77DF8">
        <w:t>n</w:t>
      </w:r>
      <w:r w:rsidRPr="00FA65C1">
        <w:t xml:space="preserve">ational </w:t>
      </w:r>
      <w:r w:rsidR="00B77DF8">
        <w:t>s</w:t>
      </w:r>
      <w:r w:rsidRPr="00FA65C1">
        <w:t xml:space="preserve">tatistical </w:t>
      </w:r>
      <w:r w:rsidR="00B77DF8">
        <w:t>o</w:t>
      </w:r>
      <w:r w:rsidRPr="00FA65C1">
        <w:t>ffices</w:t>
      </w:r>
      <w:r w:rsidRPr="00B77DF8">
        <w:t>.</w:t>
      </w:r>
      <w:r w:rsidRPr="00FA65C1">
        <w:t xml:space="preserve"> Other upcoming guidance will relate </w:t>
      </w:r>
      <w:r w:rsidRPr="00FA65C1">
        <w:lastRenderedPageBreak/>
        <w:t>to resource mobilization, user consultation, political risk assessment, census technology, field management and post-enumeration surveys.</w:t>
      </w:r>
    </w:p>
    <w:p w14:paraId="6146320B" w14:textId="77777777" w:rsidR="00DC6556" w:rsidRPr="00FA65C1" w:rsidRDefault="00DC6556" w:rsidP="005B5BCD">
      <w:pPr>
        <w:pStyle w:val="Heading21"/>
      </w:pPr>
      <w:bookmarkStart w:id="9" w:name="_Toc505873965"/>
      <w:r w:rsidRPr="00FA65C1">
        <w:t>Decentralized evaluation system</w:t>
      </w:r>
      <w:bookmarkEnd w:id="9"/>
    </w:p>
    <w:p w14:paraId="344FB9EA" w14:textId="0111D288" w:rsidR="00DC6556" w:rsidRPr="00FA65C1" w:rsidRDefault="00DC6556" w:rsidP="00DC6556">
      <w:pPr>
        <w:pStyle w:val="NUM1para"/>
      </w:pPr>
      <w:r w:rsidRPr="00FA65C1">
        <w:t>Reflecting the decentralized nature of UNFPA, 73</w:t>
      </w:r>
      <w:r w:rsidR="00B77DF8">
        <w:t xml:space="preserve"> per cent</w:t>
      </w:r>
      <w:r w:rsidRPr="00FA65C1">
        <w:t xml:space="preserve"> of all evaluations were managed by field offices (both country and regional offices), with the remainder managed at corporate level by</w:t>
      </w:r>
      <w:r w:rsidR="00950FC5">
        <w:t xml:space="preserve"> the </w:t>
      </w:r>
      <w:r w:rsidR="00950FC5" w:rsidRPr="00950FC5">
        <w:t>Evaluation Office</w:t>
      </w:r>
      <w:r w:rsidRPr="00950FC5">
        <w:t>.</w:t>
      </w:r>
      <w:r w:rsidRPr="00FA65C1">
        <w:t xml:space="preserve"> This ensures a right balance between corporate evaluations that inform global policies, strategies and initiatives, and decentralized evaluations managed by field offices that generate country-specific evidence relevant to UNFPA country programmes. </w:t>
      </w:r>
    </w:p>
    <w:p w14:paraId="719C0AA4" w14:textId="3D7C9A40" w:rsidR="00DC6556" w:rsidRPr="00FA65C1" w:rsidRDefault="00DC6556" w:rsidP="00DC6556">
      <w:pPr>
        <w:pStyle w:val="NUM1para"/>
      </w:pPr>
      <w:r w:rsidRPr="00FA65C1">
        <w:t xml:space="preserve">However, </w:t>
      </w:r>
      <w:r w:rsidR="009907F2">
        <w:t>this also</w:t>
      </w:r>
      <w:r w:rsidRPr="00FA65C1">
        <w:t xml:space="preserve"> underscores the importance of ensuring the delivery of planned decentralized programme-level evaluations that continue to meet high quality standards. Resource constraints, </w:t>
      </w:r>
      <w:r w:rsidR="009907F2">
        <w:t>affecting</w:t>
      </w:r>
      <w:r w:rsidRPr="00FA65C1">
        <w:t xml:space="preserve"> overall coverage and implementation, continue to be a significant challenge. To address this, </w:t>
      </w:r>
      <w:r w:rsidR="00950FC5">
        <w:t>the Evaluation Office</w:t>
      </w:r>
      <w:r w:rsidRPr="00FA65C1">
        <w:t xml:space="preserve">, </w:t>
      </w:r>
      <w:r w:rsidR="009907F2">
        <w:t xml:space="preserve">the </w:t>
      </w:r>
      <w:r w:rsidRPr="00FA65C1">
        <w:t xml:space="preserve">Programme Division and </w:t>
      </w:r>
      <w:r w:rsidR="009907F2">
        <w:t xml:space="preserve">the </w:t>
      </w:r>
      <w:r w:rsidRPr="00FA65C1">
        <w:t xml:space="preserve">regional offices are working together to address the underlying drivers of budget challenges and </w:t>
      </w:r>
      <w:r w:rsidR="009907F2">
        <w:t xml:space="preserve">to </w:t>
      </w:r>
      <w:r w:rsidRPr="00FA65C1">
        <w:t>ensure the continued credibility, quality and use of decentralized evaluations.</w:t>
      </w:r>
    </w:p>
    <w:p w14:paraId="0A511E1B" w14:textId="77777777" w:rsidR="00DC6556" w:rsidRPr="00FA65C1" w:rsidRDefault="00DC6556" w:rsidP="005B5BCD">
      <w:pPr>
        <w:pStyle w:val="Headingitalics"/>
      </w:pPr>
      <w:r w:rsidRPr="00FA65C1">
        <w:t>Systems to improve the quality, credibility and use of decentralized evaluations</w:t>
      </w:r>
    </w:p>
    <w:p w14:paraId="64FCB445" w14:textId="27848160" w:rsidR="00DC6556" w:rsidRPr="00FA65C1" w:rsidRDefault="00DC6556" w:rsidP="00DC6556">
      <w:pPr>
        <w:pStyle w:val="NUM1para"/>
      </w:pPr>
      <w:r w:rsidRPr="00FA65C1">
        <w:t xml:space="preserve"> To ensure proper evaluation planning, country and regional costed evaluation plans</w:t>
      </w:r>
      <w:r w:rsidR="00950FC5">
        <w:t xml:space="preserve"> </w:t>
      </w:r>
      <w:r w:rsidRPr="00FA65C1">
        <w:t xml:space="preserve">continued to be reviewed by the Programme Review Committee </w:t>
      </w:r>
      <w:r w:rsidR="00950FC5">
        <w:t>at UNFPA headquarters</w:t>
      </w:r>
      <w:r w:rsidRPr="00FA65C1">
        <w:t xml:space="preserve">. To enhance proper implementation, </w:t>
      </w:r>
      <w:r w:rsidR="00950FC5">
        <w:t>the</w:t>
      </w:r>
      <w:r w:rsidR="00950FC5" w:rsidRPr="00950FC5">
        <w:t xml:space="preserve"> Evaluation Office</w:t>
      </w:r>
      <w:r w:rsidRPr="00950FC5">
        <w:t xml:space="preserve"> </w:t>
      </w:r>
      <w:r w:rsidRPr="00FA65C1">
        <w:t xml:space="preserve">deepened its collaboration with </w:t>
      </w:r>
      <w:r w:rsidR="009907F2">
        <w:t xml:space="preserve">the </w:t>
      </w:r>
      <w:r w:rsidRPr="00FA65C1">
        <w:t xml:space="preserve">Programme Division. For instance, </w:t>
      </w:r>
      <w:r w:rsidR="009907F2">
        <w:t xml:space="preserve">the </w:t>
      </w:r>
      <w:r w:rsidRPr="00FA65C1">
        <w:t xml:space="preserve">Programme Division and </w:t>
      </w:r>
      <w:r w:rsidR="00950FC5">
        <w:t xml:space="preserve">the </w:t>
      </w:r>
      <w:r w:rsidR="00950FC5" w:rsidRPr="00950FC5">
        <w:t>Evaluation Office</w:t>
      </w:r>
      <w:r w:rsidRPr="00950FC5">
        <w:t xml:space="preserve"> </w:t>
      </w:r>
      <w:r w:rsidRPr="00FA65C1">
        <w:t>jointly analy</w:t>
      </w:r>
      <w:r w:rsidR="00950FC5">
        <w:t>s</w:t>
      </w:r>
      <w:r w:rsidRPr="00FA65C1">
        <w:t>ed implementation rates in 2016 and 2017 to identify bottlenecks. This led to a joint communication to regional and country offices highlighting the importance of implementing planned evaluations in 2018 and the necessity for timely backstopping services</w:t>
      </w:r>
      <w:r w:rsidR="009907F2">
        <w:t>,</w:t>
      </w:r>
      <w:r w:rsidRPr="00FA65C1">
        <w:t xml:space="preserve"> should challenges arise. </w:t>
      </w:r>
    </w:p>
    <w:p w14:paraId="4D9C9953" w14:textId="5795234C" w:rsidR="00DC6556" w:rsidRPr="00FA65C1" w:rsidRDefault="00DC6556" w:rsidP="00DC6556">
      <w:pPr>
        <w:pStyle w:val="NUM1para"/>
      </w:pPr>
      <w:r w:rsidRPr="00FA65C1">
        <w:t xml:space="preserve">The identification of evaluation consultants with the required experience has remained a challenge. To address this, </w:t>
      </w:r>
      <w:r w:rsidR="005804B9">
        <w:t xml:space="preserve">the </w:t>
      </w:r>
      <w:r w:rsidR="005804B9" w:rsidRPr="005804B9">
        <w:t xml:space="preserve">Evaluation Office </w:t>
      </w:r>
      <w:r w:rsidRPr="00FA65C1">
        <w:t xml:space="preserve">in 2017 enhanced the user-friendliness of the global consultancy roster by organizing the vetted consultants by key search items. In addition, </w:t>
      </w:r>
      <w:r w:rsidR="005804B9">
        <w:t xml:space="preserve">the </w:t>
      </w:r>
      <w:r w:rsidR="005804B9" w:rsidRPr="005804B9">
        <w:t>Evaluation Office</w:t>
      </w:r>
      <w:r w:rsidRPr="005804B9">
        <w:t xml:space="preserve"> </w:t>
      </w:r>
      <w:r w:rsidRPr="00FA65C1">
        <w:t>continued to assess consultants, bringing the number of vetted evaluation consultants to 32 (out of over 1</w:t>
      </w:r>
      <w:r w:rsidR="009907F2">
        <w:t>,</w:t>
      </w:r>
      <w:r w:rsidRPr="00FA65C1">
        <w:t>000 applications received).</w:t>
      </w:r>
    </w:p>
    <w:p w14:paraId="0BB2F254" w14:textId="32EB743D" w:rsidR="00DC6556" w:rsidRPr="00FA65C1" w:rsidRDefault="00DC6556" w:rsidP="00DC6556">
      <w:pPr>
        <w:pStyle w:val="NUM1para"/>
      </w:pPr>
      <w:r w:rsidRPr="00FA65C1">
        <w:t xml:space="preserve">The evaluation quality assessment system continued to be used as a key instrument to assure the quality and credibility of decentralized and corporate evaluations. This contributed to </w:t>
      </w:r>
      <w:r w:rsidRPr="00E33A21">
        <w:t>achieving 9</w:t>
      </w:r>
      <w:r w:rsidR="00652A5D" w:rsidRPr="00E33A21">
        <w:t>5</w:t>
      </w:r>
      <w:r w:rsidR="009907F2" w:rsidRPr="00E33A21">
        <w:t xml:space="preserve"> per</w:t>
      </w:r>
      <w:r w:rsidR="009907F2">
        <w:t xml:space="preserve"> cent</w:t>
      </w:r>
      <w:r w:rsidRPr="00FA65C1">
        <w:t xml:space="preserve"> of reports rated as </w:t>
      </w:r>
      <w:r w:rsidR="009907F2">
        <w:t>‘</w:t>
      </w:r>
      <w:r w:rsidRPr="00FA65C1">
        <w:t>good</w:t>
      </w:r>
      <w:r w:rsidR="009907F2">
        <w:t>’</w:t>
      </w:r>
      <w:r w:rsidRPr="00FA65C1">
        <w:t xml:space="preserve"> and above.</w:t>
      </w:r>
      <w:r w:rsidR="00EB76BD">
        <w:t xml:space="preserve"> </w:t>
      </w:r>
    </w:p>
    <w:p w14:paraId="6B072694" w14:textId="77777777" w:rsidR="00DC6556" w:rsidRPr="00FA65C1" w:rsidRDefault="00DC6556" w:rsidP="005B5BCD">
      <w:pPr>
        <w:pStyle w:val="Headingitalics"/>
      </w:pPr>
      <w:r w:rsidRPr="00FA65C1">
        <w:t>Internal evaluation capacity development</w:t>
      </w:r>
    </w:p>
    <w:p w14:paraId="0C5FE019" w14:textId="1FC26E01" w:rsidR="00DC6556" w:rsidRPr="00FA65C1" w:rsidRDefault="00DC6556" w:rsidP="00DC6556">
      <w:pPr>
        <w:pStyle w:val="NUM1para"/>
      </w:pPr>
      <w:r w:rsidRPr="00FA65C1">
        <w:t xml:space="preserve">To ensure a systemic and corporate approach to evaluation capacity development, </w:t>
      </w:r>
      <w:r w:rsidR="005804B9">
        <w:t xml:space="preserve">the </w:t>
      </w:r>
      <w:r w:rsidR="005804B9" w:rsidRPr="005804B9">
        <w:t>Evaluation Office</w:t>
      </w:r>
      <w:r w:rsidRPr="005804B9">
        <w:t xml:space="preserve"> </w:t>
      </w:r>
      <w:r w:rsidR="009907F2" w:rsidRPr="009907F2">
        <w:t>in 2017</w:t>
      </w:r>
      <w:r w:rsidR="009907F2">
        <w:t xml:space="preserve"> </w:t>
      </w:r>
      <w:r w:rsidRPr="00FA65C1">
        <w:t>led an interdivisional working group to develop a related action plan</w:t>
      </w:r>
      <w:r w:rsidR="00CF784B">
        <w:t xml:space="preserve"> for </w:t>
      </w:r>
      <w:r w:rsidR="00CF784B" w:rsidRPr="00CF784B">
        <w:t>2018-2021</w:t>
      </w:r>
      <w:r w:rsidRPr="00CF784B">
        <w:t>.</w:t>
      </w:r>
      <w:r w:rsidR="00EB76BD">
        <w:t xml:space="preserve"> </w:t>
      </w:r>
      <w:r w:rsidRPr="00FA65C1">
        <w:t xml:space="preserve">Meanwhile, </w:t>
      </w:r>
      <w:r w:rsidR="005804B9">
        <w:t xml:space="preserve">the </w:t>
      </w:r>
      <w:r w:rsidR="005804B9" w:rsidRPr="005804B9">
        <w:t>Evaluation Office</w:t>
      </w:r>
      <w:r w:rsidRPr="005804B9">
        <w:t xml:space="preserve"> </w:t>
      </w:r>
      <w:r w:rsidRPr="00FA65C1">
        <w:t>and regional monitoring and evaluation advisers continued to contribute</w:t>
      </w:r>
      <w:r w:rsidR="00CF784B">
        <w:t>,</w:t>
      </w:r>
      <w:r w:rsidRPr="00FA65C1">
        <w:t xml:space="preserve"> </w:t>
      </w:r>
      <w:r w:rsidR="00CF784B" w:rsidRPr="00CF784B">
        <w:t>throughout 2017</w:t>
      </w:r>
      <w:r w:rsidR="00CF784B">
        <w:t>,</w:t>
      </w:r>
      <w:r w:rsidR="00CF784B" w:rsidRPr="00CF784B">
        <w:t xml:space="preserve"> </w:t>
      </w:r>
      <w:r w:rsidRPr="00FA65C1">
        <w:t xml:space="preserve">to a wide variety of workshops and trainings aimed at strengthening evaluation capacity. </w:t>
      </w:r>
    </w:p>
    <w:p w14:paraId="5524DAF3" w14:textId="3ED70CB2" w:rsidR="00DC6556" w:rsidRPr="00FA65C1" w:rsidRDefault="00DC6556" w:rsidP="00DC6556">
      <w:pPr>
        <w:pStyle w:val="NUM1para"/>
      </w:pPr>
      <w:r w:rsidRPr="00FA65C1">
        <w:t xml:space="preserve">Both the Asia and Pacific </w:t>
      </w:r>
      <w:r w:rsidR="00CF784B">
        <w:t xml:space="preserve">Regional Office </w:t>
      </w:r>
      <w:r w:rsidRPr="00FA65C1">
        <w:t xml:space="preserve">(APRO) </w:t>
      </w:r>
      <w:r w:rsidR="00CF784B">
        <w:t>and the</w:t>
      </w:r>
      <w:r w:rsidRPr="00FA65C1">
        <w:t xml:space="preserve"> East and Southern Africa </w:t>
      </w:r>
      <w:r w:rsidR="00CF784B">
        <w:t>R</w:t>
      </w:r>
      <w:r w:rsidRPr="00FA65C1">
        <w:t xml:space="preserve">egional </w:t>
      </w:r>
      <w:r w:rsidR="00CF784B">
        <w:t>O</w:t>
      </w:r>
      <w:r w:rsidRPr="00FA65C1">
        <w:t xml:space="preserve">ffice </w:t>
      </w:r>
      <w:r w:rsidR="00CF784B">
        <w:t xml:space="preserve">(ESARO) </w:t>
      </w:r>
      <w:r w:rsidRPr="00FA65C1">
        <w:t xml:space="preserve">organized training workshops for monitoring and evaluation staff and other country-level staff, developing their capacity on results-based management, planning, monitoring and evaluation and communication of evaluation results. The West and </w:t>
      </w:r>
      <w:r w:rsidR="003417A8">
        <w:t>C</w:t>
      </w:r>
      <w:r w:rsidRPr="00FA65C1">
        <w:t xml:space="preserve">entral Africa Regional </w:t>
      </w:r>
      <w:r w:rsidR="003417A8">
        <w:t>O</w:t>
      </w:r>
      <w:r w:rsidRPr="00FA65C1">
        <w:t xml:space="preserve">ffice </w:t>
      </w:r>
      <w:r w:rsidR="003417A8">
        <w:t xml:space="preserve">(WCARO) </w:t>
      </w:r>
      <w:r w:rsidRPr="00FA65C1">
        <w:t xml:space="preserve">organized two </w:t>
      </w:r>
      <w:r w:rsidR="003417A8">
        <w:t>r</w:t>
      </w:r>
      <w:r w:rsidRPr="00FA65C1">
        <w:t>esults-</w:t>
      </w:r>
      <w:r w:rsidR="003417A8">
        <w:t>b</w:t>
      </w:r>
      <w:r w:rsidRPr="00FA65C1">
        <w:t xml:space="preserve">ased </w:t>
      </w:r>
      <w:r w:rsidR="003417A8">
        <w:t>m</w:t>
      </w:r>
      <w:r w:rsidRPr="00FA65C1">
        <w:t>anagement workshop</w:t>
      </w:r>
      <w:r w:rsidR="003417A8">
        <w:t>s</w:t>
      </w:r>
      <w:r w:rsidRPr="00FA65C1">
        <w:t>, one for</w:t>
      </w:r>
      <w:r w:rsidR="003417A8">
        <w:t xml:space="preserve"> </w:t>
      </w:r>
      <w:r w:rsidRPr="00FA65C1">
        <w:t>francophone country offices and another for</w:t>
      </w:r>
      <w:r w:rsidR="003417A8">
        <w:t xml:space="preserve"> a</w:t>
      </w:r>
      <w:r w:rsidRPr="00FA65C1">
        <w:t xml:space="preserve">nglophone </w:t>
      </w:r>
      <w:r w:rsidR="003417A8" w:rsidRPr="003417A8">
        <w:t>country offices</w:t>
      </w:r>
      <w:r w:rsidRPr="003417A8">
        <w:t>.</w:t>
      </w:r>
      <w:r w:rsidRPr="00FA65C1">
        <w:t xml:space="preserve"> The Eastern Europe and Central Asia Regional Office (EECARO) created</w:t>
      </w:r>
      <w:r w:rsidR="003417A8">
        <w:t xml:space="preserve">, </w:t>
      </w:r>
      <w:r w:rsidR="003417A8" w:rsidRPr="003417A8">
        <w:t>jointly with the Evaluation Office</w:t>
      </w:r>
      <w:r w:rsidR="003417A8">
        <w:t>,</w:t>
      </w:r>
      <w:r w:rsidRPr="00FA65C1">
        <w:t xml:space="preserve"> a “learning hour” focused on evaluation and </w:t>
      </w:r>
      <w:r w:rsidR="003417A8">
        <w:t>on ‘</w:t>
      </w:r>
      <w:r w:rsidRPr="00FA65C1">
        <w:t>leaving no one behind</w:t>
      </w:r>
      <w:r w:rsidR="003417A8">
        <w:t>’</w:t>
      </w:r>
      <w:r w:rsidRPr="005804B9">
        <w:t>.</w:t>
      </w:r>
      <w:r w:rsidRPr="00FA65C1">
        <w:t xml:space="preserve"> </w:t>
      </w:r>
    </w:p>
    <w:p w14:paraId="01F07B24" w14:textId="7E85B2B2" w:rsidR="00DC6556" w:rsidRPr="00FA65C1" w:rsidRDefault="00DC6556" w:rsidP="00DC6556">
      <w:pPr>
        <w:pStyle w:val="NUM1para"/>
      </w:pPr>
      <w:r w:rsidRPr="00FA65C1">
        <w:lastRenderedPageBreak/>
        <w:t>Innovative approaches to enhance knowledge sharing were also implemented. EECARO provided off</w:t>
      </w:r>
      <w:r w:rsidR="003417A8">
        <w:t>-</w:t>
      </w:r>
      <w:r w:rsidRPr="00FA65C1">
        <w:t xml:space="preserve">site technical assistance to build capacity of country office monitoring and evaluation focal points, strengthening collaboration between the regional office and </w:t>
      </w:r>
      <w:r w:rsidR="003417A8">
        <w:t xml:space="preserve">the </w:t>
      </w:r>
      <w:r w:rsidRPr="00FA65C1">
        <w:t xml:space="preserve">country offices. APRO organized a peer-to-peer learning exercise, in which country offices </w:t>
      </w:r>
      <w:r w:rsidR="003417A8">
        <w:t>that</w:t>
      </w:r>
      <w:r w:rsidRPr="00FA65C1">
        <w:t xml:space="preserve"> completed country programme evaluations in 2016 shared their experiences with country offices initiating evaluations in 2017.</w:t>
      </w:r>
    </w:p>
    <w:p w14:paraId="01B0C5E9" w14:textId="75E52713" w:rsidR="00DC6556" w:rsidRPr="00FA65C1" w:rsidRDefault="00DC6556" w:rsidP="005B5BCD">
      <w:pPr>
        <w:pStyle w:val="Heading21"/>
      </w:pPr>
      <w:r w:rsidRPr="00FA65C1">
        <w:t>Meta-analysis of the engagement of UNFPA</w:t>
      </w:r>
      <w:r w:rsidR="005B5BCD" w:rsidRPr="00FA65C1">
        <w:t xml:space="preserve"> in highly vulnerable contexts</w:t>
      </w:r>
    </w:p>
    <w:p w14:paraId="5BDA0EC5" w14:textId="2E720907" w:rsidR="00DC6556" w:rsidRPr="00FA65C1" w:rsidRDefault="00A42E78" w:rsidP="00DC6556">
      <w:pPr>
        <w:pStyle w:val="NUM1para"/>
      </w:pPr>
      <w:r>
        <w:t>In order</w:t>
      </w:r>
      <w:r w:rsidR="00DC6556" w:rsidRPr="00FA65C1">
        <w:t xml:space="preserve"> </w:t>
      </w:r>
      <w:r>
        <w:t xml:space="preserve">to </w:t>
      </w:r>
      <w:r w:rsidR="00DC6556" w:rsidRPr="00FA65C1">
        <w:t>leverag</w:t>
      </w:r>
      <w:r>
        <w:t>e</w:t>
      </w:r>
      <w:r w:rsidR="00DC6556" w:rsidRPr="00FA65C1">
        <w:t xml:space="preserve"> the wealth of evidence provided by decentralized evaluations, </w:t>
      </w:r>
      <w:r w:rsidR="005804B9">
        <w:t xml:space="preserve">the </w:t>
      </w:r>
      <w:r w:rsidR="005804B9" w:rsidRPr="005804B9">
        <w:t xml:space="preserve">Evaluation Office </w:t>
      </w:r>
      <w:r w:rsidR="00DC6556" w:rsidRPr="00FA65C1">
        <w:t xml:space="preserve">in 2017 </w:t>
      </w:r>
      <w:r w:rsidRPr="00A42E78">
        <w:t xml:space="preserve">conducted </w:t>
      </w:r>
      <w:r w:rsidR="00DC6556" w:rsidRPr="00FA65C1">
        <w:t xml:space="preserve">a meta-analysis aimed at generating learning on UNFPA engagement in countries at high risk of </w:t>
      </w:r>
      <w:r w:rsidR="005B47C9">
        <w:t xml:space="preserve">facing </w:t>
      </w:r>
      <w:r w:rsidR="00DC6556" w:rsidRPr="00FA65C1">
        <w:t>a humanitarian crisis as well as those emerging from humanitarian situations</w:t>
      </w:r>
      <w:r w:rsidR="00612812">
        <w:t>,</w:t>
      </w:r>
      <w:r w:rsidR="00DC6556" w:rsidRPr="00FA65C1">
        <w:t xml:space="preserve"> such as natural disasters, epidemics and armed conflicts. Building on a synthesis of the results of six previously completed country programme evaluations</w:t>
      </w:r>
      <w:r w:rsidR="00DC6556" w:rsidRPr="00E33A21">
        <w:t>,</w:t>
      </w:r>
      <w:bookmarkStart w:id="10" w:name="_GoBack"/>
      <w:bookmarkEnd w:id="10"/>
      <w:r w:rsidR="00DC6556" w:rsidRPr="00FA65C1">
        <w:t xml:space="preserve"> the meta-analysis gathered information on a wider circle of </w:t>
      </w:r>
      <w:r w:rsidR="00612812">
        <w:t>25</w:t>
      </w:r>
      <w:r w:rsidR="00DC6556" w:rsidRPr="00FA65C1">
        <w:t xml:space="preserve"> UNFPA priority humanitarian countries through document review</w:t>
      </w:r>
      <w:r w:rsidR="00612812">
        <w:t>s</w:t>
      </w:r>
      <w:r w:rsidR="00DC6556" w:rsidRPr="00FA65C1">
        <w:t>, semi-structured interviews and electronic surveys.</w:t>
      </w:r>
      <w:r w:rsidR="003417A8">
        <w:t xml:space="preserve"> </w:t>
      </w:r>
    </w:p>
    <w:p w14:paraId="5775775A" w14:textId="5BB09193" w:rsidR="00DC6556" w:rsidRPr="00FA65C1" w:rsidRDefault="00DC6556" w:rsidP="00DC6556">
      <w:pPr>
        <w:pStyle w:val="NUM1para"/>
      </w:pPr>
      <w:r w:rsidRPr="00FA65C1">
        <w:t>The meta-analysis concluded that a fair basis ha</w:t>
      </w:r>
      <w:r w:rsidR="00612812">
        <w:t>d</w:t>
      </w:r>
      <w:r w:rsidRPr="00FA65C1">
        <w:t xml:space="preserve"> been </w:t>
      </w:r>
      <w:r w:rsidR="006C4CA7">
        <w:t>established</w:t>
      </w:r>
      <w:r w:rsidRPr="00FA65C1">
        <w:t xml:space="preserve"> for UNFPA to position itself strategically and programmatically within the humanitarian-development nexus, </w:t>
      </w:r>
      <w:r w:rsidR="00612812" w:rsidRPr="00612812">
        <w:t xml:space="preserve">although </w:t>
      </w:r>
      <w:r w:rsidR="00612812">
        <w:t xml:space="preserve">it also noted </w:t>
      </w:r>
      <w:r w:rsidRPr="00FA65C1">
        <w:t xml:space="preserve">the need for a corporate vision or policy. </w:t>
      </w:r>
      <w:r w:rsidR="00C02B9F">
        <w:t>It</w:t>
      </w:r>
      <w:r w:rsidRPr="00FA65C1">
        <w:t xml:space="preserve"> suggested UNFPA should develop a strong corporate policy on working across the humanitarian-development-peace nexus. </w:t>
      </w:r>
      <w:r w:rsidR="00612812">
        <w:t>It</w:t>
      </w:r>
      <w:r w:rsidRPr="00FA65C1">
        <w:t xml:space="preserve"> also suggested produc</w:t>
      </w:r>
      <w:r w:rsidR="00C02B9F">
        <w:t>ing</w:t>
      </w:r>
      <w:r w:rsidRPr="00FA65C1">
        <w:t xml:space="preserve"> case studies on linking development and humanitarian approaches in the niche areas of UNFPA and to work towards more flexibility</w:t>
      </w:r>
      <w:r w:rsidR="00612812">
        <w:t>,</w:t>
      </w:r>
      <w:r w:rsidRPr="00FA65C1">
        <w:t xml:space="preserve"> to shift financial resources from emergency to development</w:t>
      </w:r>
      <w:r w:rsidR="00612812">
        <w:t>,</w:t>
      </w:r>
      <w:r w:rsidRPr="00FA65C1">
        <w:t xml:space="preserve"> and vice versa.</w:t>
      </w:r>
    </w:p>
    <w:p w14:paraId="5070A517" w14:textId="2AA299D0" w:rsidR="00DC6556" w:rsidRPr="00FA65C1" w:rsidRDefault="00DC6556" w:rsidP="00DC6556">
      <w:pPr>
        <w:pStyle w:val="NUM1para"/>
      </w:pPr>
      <w:r w:rsidRPr="00FA65C1">
        <w:t xml:space="preserve">The report noted that while UNFPA has clearly emerged as a humanitarian agency, funding is not commensurate with population needs and corporate commitments. With the aim of enhancing the capability of </w:t>
      </w:r>
      <w:r w:rsidR="00A83149">
        <w:t>country offices</w:t>
      </w:r>
      <w:r w:rsidRPr="00FA65C1">
        <w:t xml:space="preserve"> to adequately finance their emergency and response plan</w:t>
      </w:r>
      <w:r w:rsidR="00A83149">
        <w:t>s</w:t>
      </w:r>
      <w:r w:rsidRPr="00FA65C1">
        <w:t>, including by leveraging additional other resou</w:t>
      </w:r>
      <w:r w:rsidR="00C02B9F">
        <w:t>rces, the meta-analysis suggested</w:t>
      </w:r>
      <w:r w:rsidRPr="00FA65C1">
        <w:t xml:space="preserve"> us</w:t>
      </w:r>
      <w:r w:rsidR="00C02B9F">
        <w:t>ing</w:t>
      </w:r>
      <w:r w:rsidRPr="00FA65C1">
        <w:t xml:space="preserve"> the midterm review of the UNFPA </w:t>
      </w:r>
      <w:r w:rsidR="00A83149">
        <w:t>strategic plan,</w:t>
      </w:r>
      <w:r w:rsidRPr="00FA65C1">
        <w:t xml:space="preserve"> 2018-2021</w:t>
      </w:r>
      <w:r w:rsidR="00A83149">
        <w:t>,</w:t>
      </w:r>
      <w:r w:rsidRPr="00FA65C1">
        <w:t xml:space="preserve"> to adapt the UNFPA resource allocation system</w:t>
      </w:r>
      <w:r w:rsidR="00C02B9F">
        <w:t>,</w:t>
      </w:r>
      <w:r w:rsidR="00EB76BD">
        <w:t xml:space="preserve"> </w:t>
      </w:r>
      <w:r w:rsidR="00C02B9F">
        <w:t xml:space="preserve">notably </w:t>
      </w:r>
      <w:r w:rsidRPr="00FA65C1">
        <w:t>by</w:t>
      </w:r>
      <w:r w:rsidR="00A83149">
        <w:t>:</w:t>
      </w:r>
      <w:r w:rsidRPr="00FA65C1">
        <w:t xml:space="preserve"> </w:t>
      </w:r>
      <w:r w:rsidR="00A83149">
        <w:t>(a</w:t>
      </w:r>
      <w:r w:rsidRPr="00FA65C1">
        <w:t xml:space="preserve">) introducing </w:t>
      </w:r>
      <w:r w:rsidR="00A83149">
        <w:t xml:space="preserve">a </w:t>
      </w:r>
      <w:r w:rsidRPr="00FA65C1">
        <w:t>funding floor</w:t>
      </w:r>
      <w:r w:rsidR="00A83149">
        <w:t>;</w:t>
      </w:r>
      <w:r w:rsidRPr="00FA65C1">
        <w:t xml:space="preserve"> and </w:t>
      </w:r>
      <w:r w:rsidR="00A83149">
        <w:t>(b</w:t>
      </w:r>
      <w:r w:rsidRPr="00FA65C1">
        <w:t xml:space="preserve">) better reflecting fragility and risk in funds allocation criteria. A stronger focus on preparedness should also be placed in UNFPA country programmes to manage humanitarian needs. </w:t>
      </w:r>
    </w:p>
    <w:p w14:paraId="0C7A44B1" w14:textId="6B9FC6FE" w:rsidR="00DC6556" w:rsidRPr="00FA65C1" w:rsidRDefault="00DC6556" w:rsidP="00DC6556">
      <w:pPr>
        <w:pStyle w:val="NUM1para"/>
      </w:pPr>
      <w:r w:rsidRPr="00FA65C1">
        <w:t>The meta-analysis highlighted that UNFPA staff in highly</w:t>
      </w:r>
      <w:r w:rsidR="00A83149">
        <w:t xml:space="preserve"> </w:t>
      </w:r>
      <w:r w:rsidRPr="00FA65C1">
        <w:t>vulnerable contexts are frequently stretched</w:t>
      </w:r>
      <w:r w:rsidR="00A83149">
        <w:t xml:space="preserve"> thin;</w:t>
      </w:r>
      <w:r w:rsidRPr="00FA65C1">
        <w:t xml:space="preserve"> </w:t>
      </w:r>
      <w:r w:rsidR="00A83149">
        <w:t>this affects</w:t>
      </w:r>
      <w:r w:rsidRPr="00FA65C1">
        <w:t xml:space="preserve"> their well-being and performance as well as the reputation of UNFPA as a humanitarian actor. As a remedy, </w:t>
      </w:r>
      <w:r w:rsidR="00C02B9F">
        <w:t>it</w:t>
      </w:r>
      <w:r w:rsidRPr="00FA65C1">
        <w:t xml:space="preserve"> suggested that office structuring be reviewed to meet strategic plan humanitarian requirements. It also suggested that adequate presence of dedicated humanitarian staff be ensured in UNFPA priority humanitarian countries.</w:t>
      </w:r>
      <w:r w:rsidR="00EB76BD">
        <w:t xml:space="preserve"> </w:t>
      </w:r>
    </w:p>
    <w:p w14:paraId="49A9EBE7" w14:textId="60D90FEB" w:rsidR="00DC6556" w:rsidRPr="00FA65C1" w:rsidRDefault="00DC6556" w:rsidP="00DC6556">
      <w:pPr>
        <w:pStyle w:val="NUM1para"/>
      </w:pPr>
      <w:r w:rsidRPr="00FA65C1">
        <w:t>Another key conclusion of the report was that UNFPA is at crossroads</w:t>
      </w:r>
      <w:r w:rsidR="00C02B9F">
        <w:t xml:space="preserve"> –</w:t>
      </w:r>
      <w:r w:rsidRPr="00FA65C1">
        <w:t xml:space="preserve"> whether to invest </w:t>
      </w:r>
      <w:r w:rsidR="00C02B9F">
        <w:t xml:space="preserve">further </w:t>
      </w:r>
      <w:r w:rsidRPr="00FA65C1">
        <w:t xml:space="preserve">in becoming a go-to agency for humanitarian data or to accept a more modest role. Key suggestions in this regard are to clarify expectations underlying </w:t>
      </w:r>
      <w:r w:rsidR="00C02B9F">
        <w:t>‘</w:t>
      </w:r>
      <w:r w:rsidRPr="00FA65C1">
        <w:t>increasing investment in data in emergencies</w:t>
      </w:r>
      <w:r w:rsidR="00C02B9F">
        <w:t>’, as per the UNFPA s</w:t>
      </w:r>
      <w:r w:rsidRPr="00FA65C1">
        <w:t xml:space="preserve">trategic </w:t>
      </w:r>
      <w:r w:rsidR="00C02B9F">
        <w:t>p</w:t>
      </w:r>
      <w:r w:rsidRPr="00FA65C1">
        <w:t>lan</w:t>
      </w:r>
      <w:r w:rsidR="0032182F">
        <w:t>,</w:t>
      </w:r>
      <w:r w:rsidRPr="00FA65C1">
        <w:t xml:space="preserve"> 2018-2021, to ensure the availability of adequate expert support for country offices in headquarters and regional offices</w:t>
      </w:r>
      <w:r w:rsidR="0032182F">
        <w:t xml:space="preserve">, </w:t>
      </w:r>
      <w:r w:rsidRPr="00FA65C1">
        <w:t xml:space="preserve">and to explore options for better using and integrating population and development officers in humanitarian programming. </w:t>
      </w:r>
    </w:p>
    <w:p w14:paraId="04D3836C" w14:textId="4FEB0963" w:rsidR="00DC6556" w:rsidRPr="00FA65C1" w:rsidRDefault="00DC6556" w:rsidP="005B5BCD">
      <w:pPr>
        <w:pStyle w:val="Heading11"/>
      </w:pPr>
      <w:bookmarkStart w:id="11" w:name="_Toc505873966"/>
      <w:r w:rsidRPr="00FA65C1">
        <w:t>Enhancing coherence in the U</w:t>
      </w:r>
      <w:r w:rsidR="005B5BCD" w:rsidRPr="00FA65C1">
        <w:t xml:space="preserve">nited </w:t>
      </w:r>
      <w:r w:rsidRPr="00FA65C1">
        <w:t>N</w:t>
      </w:r>
      <w:r w:rsidR="005B5BCD" w:rsidRPr="00FA65C1">
        <w:t>ations</w:t>
      </w:r>
      <w:r w:rsidRPr="00FA65C1">
        <w:t xml:space="preserve"> system evaluation functions</w:t>
      </w:r>
    </w:p>
    <w:bookmarkEnd w:id="11"/>
    <w:p w14:paraId="05F92CD2" w14:textId="68AC797F" w:rsidR="00DC6556" w:rsidRPr="00FA65C1" w:rsidRDefault="00DC6556" w:rsidP="00DC6556">
      <w:pPr>
        <w:pStyle w:val="NUM1para"/>
      </w:pPr>
      <w:r w:rsidRPr="00FA65C1">
        <w:t xml:space="preserve">As </w:t>
      </w:r>
      <w:r w:rsidR="0032182F">
        <w:t>outlined</w:t>
      </w:r>
      <w:r w:rsidRPr="00FA65C1">
        <w:t xml:space="preserve"> in the introduction, </w:t>
      </w:r>
      <w:r w:rsidR="005804B9">
        <w:t xml:space="preserve">the </w:t>
      </w:r>
      <w:r w:rsidR="005804B9" w:rsidRPr="005804B9">
        <w:t xml:space="preserve">Evaluation Office </w:t>
      </w:r>
      <w:r w:rsidRPr="00FA65C1">
        <w:t xml:space="preserve">is fully committed to enhancing coherence in the </w:t>
      </w:r>
      <w:r w:rsidR="005804B9">
        <w:t xml:space="preserve">United Nations </w:t>
      </w:r>
      <w:r w:rsidRPr="00FA65C1">
        <w:t xml:space="preserve">system’s evaluation functions, including in the framework of </w:t>
      </w:r>
      <w:r w:rsidR="005804B9">
        <w:t xml:space="preserve">United Nations </w:t>
      </w:r>
      <w:r w:rsidRPr="00FA65C1">
        <w:t xml:space="preserve">reform. It does so engaging and collaborating with other </w:t>
      </w:r>
      <w:r w:rsidR="005804B9">
        <w:t xml:space="preserve">United Nations </w:t>
      </w:r>
      <w:r w:rsidRPr="00FA65C1">
        <w:t>entities, either bilaterally or system-widely, as presented below.</w:t>
      </w:r>
    </w:p>
    <w:p w14:paraId="04A5C5A3" w14:textId="77777777" w:rsidR="00DC6556" w:rsidRPr="00FA65C1" w:rsidRDefault="00DC6556" w:rsidP="005B5BCD">
      <w:pPr>
        <w:pStyle w:val="Heading21"/>
        <w:numPr>
          <w:ilvl w:val="0"/>
          <w:numId w:val="19"/>
        </w:numPr>
      </w:pPr>
      <w:bookmarkStart w:id="12" w:name="_Toc505873967"/>
      <w:r w:rsidRPr="00FA65C1">
        <w:lastRenderedPageBreak/>
        <w:t>The United Nations Evaluation Group</w:t>
      </w:r>
      <w:bookmarkEnd w:id="12"/>
      <w:r w:rsidRPr="00FA65C1">
        <w:t xml:space="preserve"> (UNEG)</w:t>
      </w:r>
    </w:p>
    <w:p w14:paraId="2F8E552F" w14:textId="4DA02F4E" w:rsidR="00DC6556" w:rsidRPr="00FA65C1" w:rsidRDefault="00A52F06" w:rsidP="00DC6556">
      <w:pPr>
        <w:pStyle w:val="NUM1para"/>
      </w:pPr>
      <w:r>
        <w:t>The Evaluation Office</w:t>
      </w:r>
      <w:r w:rsidR="00DC6556" w:rsidRPr="00FA65C1">
        <w:t xml:space="preserve"> has been co-leading </w:t>
      </w:r>
      <w:r>
        <w:t xml:space="preserve">the </w:t>
      </w:r>
      <w:r w:rsidR="00DC6556" w:rsidRPr="00FA65C1">
        <w:t>UNEG work on the professionalization of evaluation and on the decentralized evaluation function since 2015. After the working group on professionalization of evaluation launched six pilot projects in 2016 (to test the practical applicability of the newly developed evaluation competency framework), th</w:t>
      </w:r>
      <w:r>
        <w:t>e first tentative lessons learned</w:t>
      </w:r>
      <w:r w:rsidR="00DC6556" w:rsidRPr="00FA65C1">
        <w:t xml:space="preserve"> were identified and reported back to UNEG at </w:t>
      </w:r>
      <w:r>
        <w:t>its</w:t>
      </w:r>
      <w:r w:rsidR="00DC6556" w:rsidRPr="00FA65C1">
        <w:t xml:space="preserve"> </w:t>
      </w:r>
      <w:r>
        <w:t>a</w:t>
      </w:r>
      <w:r w:rsidR="00DC6556" w:rsidRPr="00FA65C1">
        <w:t xml:space="preserve">nnual </w:t>
      </w:r>
      <w:r>
        <w:t>g</w:t>
      </w:r>
      <w:r w:rsidR="00DC6556" w:rsidRPr="00FA65C1">
        <w:t xml:space="preserve">eneral </w:t>
      </w:r>
      <w:r>
        <w:t>m</w:t>
      </w:r>
      <w:r w:rsidR="00DC6556" w:rsidRPr="00FA65C1">
        <w:t xml:space="preserve">eeting in March 2017. An evaluation competency leaflet and </w:t>
      </w:r>
      <w:r>
        <w:t xml:space="preserve">a related </w:t>
      </w:r>
      <w:r w:rsidR="00DC6556" w:rsidRPr="00FA65C1">
        <w:t>tool were subsequently developed and widely disseminated. As co-convener of the decentralized evaluation function interest group,</w:t>
      </w:r>
      <w:r w:rsidR="005804B9">
        <w:t xml:space="preserve"> the Evaluation Office</w:t>
      </w:r>
      <w:r w:rsidR="00DC6556" w:rsidRPr="00FA65C1">
        <w:t xml:space="preserve"> has contributed to promoting and sharing good practices and learning across agencies, including through the exploratory study of the </w:t>
      </w:r>
      <w:r w:rsidR="005804B9">
        <w:t xml:space="preserve">United Nations </w:t>
      </w:r>
      <w:r w:rsidR="00DC6556" w:rsidRPr="00FA65C1">
        <w:t>decentralized evaluation functions.</w:t>
      </w:r>
    </w:p>
    <w:p w14:paraId="0266A972" w14:textId="627D535F" w:rsidR="00DC6556" w:rsidRPr="00FA65C1" w:rsidRDefault="00A52F06" w:rsidP="00DC6556">
      <w:pPr>
        <w:pStyle w:val="NUM1para"/>
      </w:pPr>
      <w:r w:rsidRPr="00A52F06">
        <w:t xml:space="preserve">The Evaluation Office </w:t>
      </w:r>
      <w:r w:rsidR="00DC6556" w:rsidRPr="00FA65C1">
        <w:t>has contributed to the work of the UNEG working groups on gender and human rights</w:t>
      </w:r>
      <w:r w:rsidR="00724C79">
        <w:t>,</w:t>
      </w:r>
      <w:r w:rsidR="00DC6556" w:rsidRPr="00FA65C1">
        <w:t xml:space="preserve"> </w:t>
      </w:r>
      <w:r w:rsidR="00FA3182">
        <w:t>as well as</w:t>
      </w:r>
      <w:r w:rsidR="00DC6556" w:rsidRPr="00FA65C1">
        <w:t xml:space="preserve"> humanitarian issues. In particular,</w:t>
      </w:r>
      <w:r w:rsidR="005804B9">
        <w:t xml:space="preserve"> the Evaluation Office</w:t>
      </w:r>
      <w:r w:rsidR="00DC6556" w:rsidRPr="00FA65C1">
        <w:t xml:space="preserve"> contributed to the guidelines on evaluating corporate gender</w:t>
      </w:r>
      <w:r w:rsidR="005A4909">
        <w:t>-</w:t>
      </w:r>
      <w:r w:rsidR="00DC6556" w:rsidRPr="00FA65C1">
        <w:t xml:space="preserve">equality policies; the development of an e-learning course on </w:t>
      </w:r>
      <w:r w:rsidR="005A4909">
        <w:t>i</w:t>
      </w:r>
      <w:r w:rsidR="00DC6556" w:rsidRPr="00FA65C1">
        <w:t xml:space="preserve">ntegrating </w:t>
      </w:r>
      <w:r w:rsidR="005A4909">
        <w:t>h</w:t>
      </w:r>
      <w:r w:rsidR="00DC6556" w:rsidRPr="00FA65C1">
        <w:t xml:space="preserve">uman </w:t>
      </w:r>
      <w:r w:rsidR="005A4909">
        <w:t>r</w:t>
      </w:r>
      <w:r w:rsidR="00DC6556" w:rsidRPr="00FA65C1">
        <w:t xml:space="preserve">ights and </w:t>
      </w:r>
      <w:r w:rsidR="005A4909">
        <w:t>g</w:t>
      </w:r>
      <w:r w:rsidR="00DC6556" w:rsidRPr="00FA65C1">
        <w:t xml:space="preserve">ender </w:t>
      </w:r>
      <w:r w:rsidR="005A4909">
        <w:t>e</w:t>
      </w:r>
      <w:r w:rsidR="00DC6556" w:rsidRPr="00FA65C1">
        <w:t xml:space="preserve">quality in </w:t>
      </w:r>
      <w:r w:rsidR="005A4909">
        <w:t>e</w:t>
      </w:r>
      <w:r w:rsidR="00DC6556" w:rsidRPr="00FA65C1">
        <w:t>valuations; and the United Nations system-wide action plan on gender equality and the empowerment of women (UN-SWAP) evaluation performance indicator technical revision.</w:t>
      </w:r>
      <w:r w:rsidR="005A4909">
        <w:t xml:space="preserve"> T</w:t>
      </w:r>
      <w:r w:rsidR="005804B9">
        <w:t>he Evaluation Office</w:t>
      </w:r>
      <w:r w:rsidR="00DC6556" w:rsidRPr="00FA65C1">
        <w:t xml:space="preserve"> also contributed to the development of a mapping and synthesis of humanitarian-development nexus evaluations as well as a draft guidance for evaluating humanitarian interventions</w:t>
      </w:r>
      <w:r w:rsidR="005A4909">
        <w:t>,</w:t>
      </w:r>
      <w:r w:rsidR="00DC6556" w:rsidRPr="00FA65C1">
        <w:t xml:space="preserve"> to be piloted in 2018.</w:t>
      </w:r>
      <w:r w:rsidR="00EB76BD">
        <w:t xml:space="preserve"> </w:t>
      </w:r>
    </w:p>
    <w:p w14:paraId="377F24D3" w14:textId="49566EF4" w:rsidR="00DC6556" w:rsidRPr="00FA65C1" w:rsidRDefault="005A4909" w:rsidP="00DC6556">
      <w:pPr>
        <w:pStyle w:val="NUM1para"/>
      </w:pPr>
      <w:r w:rsidRPr="005A4909">
        <w:t xml:space="preserve">The Evaluation Office </w:t>
      </w:r>
      <w:r w:rsidR="00DC6556" w:rsidRPr="00FA65C1">
        <w:t>actively participated in the UNEG evaluation week</w:t>
      </w:r>
      <w:r>
        <w:t xml:space="preserve"> </w:t>
      </w:r>
      <w:r w:rsidRPr="005A4909">
        <w:t>2017</w:t>
      </w:r>
      <w:r w:rsidR="00DC6556" w:rsidRPr="005A4909">
        <w:t>,</w:t>
      </w:r>
      <w:r w:rsidR="00DC6556" w:rsidRPr="00FA65C1">
        <w:t xml:space="preserve"> including by organizing</w:t>
      </w:r>
      <w:r w:rsidR="005B47C9">
        <w:t>,</w:t>
      </w:r>
      <w:r w:rsidR="00DC6556" w:rsidRPr="00FA65C1">
        <w:t xml:space="preserve"> together with UNDP, </w:t>
      </w:r>
      <w:r w:rsidRPr="005A4909">
        <w:t xml:space="preserve">UNICEF </w:t>
      </w:r>
      <w:r w:rsidR="00DC6556" w:rsidRPr="00FA65C1">
        <w:t xml:space="preserve">and </w:t>
      </w:r>
      <w:r w:rsidR="00DF16CA" w:rsidRPr="00DF16CA">
        <w:t xml:space="preserve">the </w:t>
      </w:r>
      <w:r w:rsidR="00DF16CA" w:rsidRPr="00DF16CA">
        <w:rPr>
          <w:bCs/>
        </w:rPr>
        <w:t>Office of the High Commissioner for Human Rights</w:t>
      </w:r>
      <w:r w:rsidR="005B47C9" w:rsidRPr="00DF16CA">
        <w:t>,</w:t>
      </w:r>
      <w:r w:rsidR="00DC6556" w:rsidRPr="00DF16CA">
        <w:t xml:space="preserve"> a</w:t>
      </w:r>
      <w:r w:rsidR="00DC6556" w:rsidRPr="00FA65C1">
        <w:t xml:space="preserve"> panel discussion on: “No one left behind: evaluating vulnerable and marginalized groups”. </w:t>
      </w:r>
    </w:p>
    <w:p w14:paraId="3ECFD0D1" w14:textId="307C66C0" w:rsidR="00DC6556" w:rsidRPr="00FA65C1" w:rsidRDefault="00DC6556" w:rsidP="005B5BCD">
      <w:pPr>
        <w:pStyle w:val="Heading21"/>
      </w:pPr>
      <w:bookmarkStart w:id="13" w:name="_Toc505873968"/>
      <w:r w:rsidRPr="00FA65C1">
        <w:t>United Nations System-wide Action Plan on Gender Equality and the Empowerment of Women</w:t>
      </w:r>
      <w:bookmarkEnd w:id="13"/>
    </w:p>
    <w:p w14:paraId="3A0F371B" w14:textId="7621A284" w:rsidR="00DC6556" w:rsidRPr="00FA65C1" w:rsidRDefault="00DC6556" w:rsidP="00DC6556">
      <w:pPr>
        <w:pStyle w:val="NUM1para"/>
      </w:pPr>
      <w:r w:rsidRPr="00FA65C1">
        <w:t>On a yearly basis,</w:t>
      </w:r>
      <w:r w:rsidR="005804B9">
        <w:t xml:space="preserve"> the Evaluation Office</w:t>
      </w:r>
      <w:r w:rsidRPr="00FA65C1">
        <w:t xml:space="preserve"> reports on compliance of the UNFPA evaluation reports against the </w:t>
      </w:r>
      <w:r w:rsidR="004C70A8">
        <w:t>e</w:t>
      </w:r>
      <w:r w:rsidRPr="00FA65C1">
        <w:t xml:space="preserve">valuation </w:t>
      </w:r>
      <w:r w:rsidR="004C70A8">
        <w:t>p</w:t>
      </w:r>
      <w:r w:rsidRPr="00FA65C1">
        <w:t xml:space="preserve">erformance </w:t>
      </w:r>
      <w:r w:rsidR="004C70A8">
        <w:t>i</w:t>
      </w:r>
      <w:r w:rsidRPr="00FA65C1">
        <w:t xml:space="preserve">ndicator </w:t>
      </w:r>
      <w:r w:rsidR="004C70A8">
        <w:t xml:space="preserve">for the </w:t>
      </w:r>
      <w:r w:rsidR="004C70A8" w:rsidRPr="004C70A8">
        <w:t>United Nations System-wide Action Plan on Gender Equality and the Empowerment of Women</w:t>
      </w:r>
      <w:r w:rsidRPr="00FA65C1">
        <w:t>. In 2017, on aggregate, UNFPA evaluation reports met the requirements of th</w:t>
      </w:r>
      <w:r w:rsidR="00407373">
        <w:t>at</w:t>
      </w:r>
      <w:r w:rsidRPr="00FA65C1">
        <w:t xml:space="preserve"> </w:t>
      </w:r>
      <w:r w:rsidR="004C70A8">
        <w:t>indicator</w:t>
      </w:r>
      <w:r w:rsidRPr="00FA65C1">
        <w:t xml:space="preserve">, with a score of 9.23. This reflects a continuous year on year improvement from 2015 (with a score of 8.87) and 2016 (with a score of 9.15) in the integration of gender equality principles in evaluation reports. </w:t>
      </w:r>
    </w:p>
    <w:p w14:paraId="717240E9" w14:textId="1B0B7F1D" w:rsidR="00DC6556" w:rsidRPr="00FA65C1" w:rsidRDefault="00DC6556" w:rsidP="005B5BCD">
      <w:pPr>
        <w:pStyle w:val="Heading21"/>
      </w:pPr>
      <w:r w:rsidRPr="00FA65C1">
        <w:t>Inter-Agency Humanitarian Evaluation</w:t>
      </w:r>
    </w:p>
    <w:p w14:paraId="6E9B5A68" w14:textId="7CF4400B" w:rsidR="00DC6556" w:rsidRPr="00FA65C1" w:rsidRDefault="00DC6556" w:rsidP="00DC6556">
      <w:pPr>
        <w:pStyle w:val="NUM1para"/>
      </w:pPr>
      <w:r w:rsidRPr="00FA65C1">
        <w:t>In 2017,</w:t>
      </w:r>
      <w:r w:rsidR="005804B9">
        <w:t xml:space="preserve"> the Evaluation Office</w:t>
      </w:r>
      <w:r w:rsidRPr="00FA65C1">
        <w:t xml:space="preserve"> continued to take part in the work of the IAHE </w:t>
      </w:r>
      <w:r w:rsidR="00407373">
        <w:t>S</w:t>
      </w:r>
      <w:r w:rsidRPr="00FA65C1">
        <w:t xml:space="preserve">teering </w:t>
      </w:r>
      <w:r w:rsidR="00407373">
        <w:t>G</w:t>
      </w:r>
      <w:r w:rsidRPr="00FA65C1">
        <w:t xml:space="preserve">roup. </w:t>
      </w:r>
      <w:r w:rsidR="00407373">
        <w:t>In response to</w:t>
      </w:r>
      <w:r w:rsidRPr="00FA65C1">
        <w:t xml:space="preserve"> </w:t>
      </w:r>
      <w:r w:rsidR="007D6B2D">
        <w:t>an</w:t>
      </w:r>
      <w:r w:rsidRPr="00FA65C1">
        <w:t xml:space="preserve"> independent review </w:t>
      </w:r>
      <w:r w:rsidR="007D6B2D">
        <w:t xml:space="preserve">in </w:t>
      </w:r>
      <w:r w:rsidRPr="00FA65C1">
        <w:t xml:space="preserve">2016, the Steering Group decided to improve IAHE performance </w:t>
      </w:r>
      <w:r w:rsidR="007D6B2D">
        <w:t>by</w:t>
      </w:r>
      <w:r w:rsidRPr="00FA65C1">
        <w:t xml:space="preserve"> adopti</w:t>
      </w:r>
      <w:r w:rsidR="007D6B2D">
        <w:t>ng</w:t>
      </w:r>
      <w:r w:rsidRPr="00FA65C1">
        <w:t xml:space="preserve"> four action points: (</w:t>
      </w:r>
      <w:r w:rsidR="007D6B2D">
        <w:t>a</w:t>
      </w:r>
      <w:r w:rsidRPr="00FA65C1">
        <w:t>) development of a conceptual framework; (</w:t>
      </w:r>
      <w:r w:rsidR="007D6B2D">
        <w:t>b</w:t>
      </w:r>
      <w:r w:rsidRPr="00FA65C1">
        <w:t>) development of a four-year rolling workplan; (</w:t>
      </w:r>
      <w:r w:rsidR="007D6B2D">
        <w:t>c</w:t>
      </w:r>
      <w:r w:rsidRPr="00FA65C1">
        <w:t xml:space="preserve">) development of an engagement and communications strategy; </w:t>
      </w:r>
      <w:r w:rsidR="007D6B2D">
        <w:t xml:space="preserve">and </w:t>
      </w:r>
      <w:r w:rsidRPr="00FA65C1">
        <w:t>(</w:t>
      </w:r>
      <w:r w:rsidR="007D6B2D">
        <w:t>d</w:t>
      </w:r>
      <w:r w:rsidRPr="00FA65C1">
        <w:t xml:space="preserve">) revision of the guidelines for inter-agency humanitarian evaluations. As part of </w:t>
      </w:r>
      <w:r w:rsidR="006A2F47">
        <w:t xml:space="preserve">its </w:t>
      </w:r>
      <w:r w:rsidRPr="00FA65C1">
        <w:t xml:space="preserve">four-year workplan, </w:t>
      </w:r>
      <w:r w:rsidR="006A2F47" w:rsidRPr="006A2F47">
        <w:t xml:space="preserve">the IAHE Steering Group </w:t>
      </w:r>
      <w:r w:rsidR="006A2F47">
        <w:t xml:space="preserve">is planning to launch </w:t>
      </w:r>
      <w:r w:rsidRPr="00FA65C1">
        <w:t>a system-wide evaluation of the response to the humanitarian crisis in Yemen in 2018.</w:t>
      </w:r>
      <w:r w:rsidR="005804B9">
        <w:t xml:space="preserve"> </w:t>
      </w:r>
      <w:r w:rsidR="006A2F47">
        <w:t>T</w:t>
      </w:r>
      <w:r w:rsidR="005804B9">
        <w:t>he Evaluation Office</w:t>
      </w:r>
      <w:r w:rsidRPr="00FA65C1">
        <w:t xml:space="preserve"> volunteered to </w:t>
      </w:r>
      <w:r w:rsidR="00FA3182">
        <w:t>co-lead</w:t>
      </w:r>
      <w:r w:rsidRPr="00FA65C1">
        <w:t xml:space="preserve"> this evaluation. </w:t>
      </w:r>
    </w:p>
    <w:p w14:paraId="58E8340D" w14:textId="77777777" w:rsidR="00DC6556" w:rsidRPr="00FA65C1" w:rsidRDefault="00DC6556" w:rsidP="005B5BCD">
      <w:pPr>
        <w:pStyle w:val="Heading21"/>
      </w:pPr>
      <w:r w:rsidRPr="00FA65C1">
        <w:t>Independent system-wide evaluation mechanisms</w:t>
      </w:r>
    </w:p>
    <w:p w14:paraId="30A2977A" w14:textId="4149F2B6" w:rsidR="00DC6556" w:rsidRPr="00FA65C1" w:rsidRDefault="006A2F47" w:rsidP="00DB3C93">
      <w:pPr>
        <w:pStyle w:val="NUM1para"/>
      </w:pPr>
      <w:r>
        <w:t>T</w:t>
      </w:r>
      <w:r w:rsidR="005804B9">
        <w:t>he Evaluation Office</w:t>
      </w:r>
      <w:r w:rsidR="00DC6556" w:rsidRPr="00FA65C1">
        <w:t xml:space="preserve"> </w:t>
      </w:r>
      <w:r w:rsidR="002034FC" w:rsidRPr="002034FC">
        <w:t xml:space="preserve">is fully </w:t>
      </w:r>
      <w:r w:rsidR="00DB3C93" w:rsidRPr="00DB3C93">
        <w:t xml:space="preserve">committed </w:t>
      </w:r>
      <w:r w:rsidR="00DB3C93">
        <w:t xml:space="preserve">and </w:t>
      </w:r>
      <w:r w:rsidR="002034FC" w:rsidRPr="002034FC">
        <w:t xml:space="preserve">engaged </w:t>
      </w:r>
      <w:r w:rsidR="002034FC">
        <w:t xml:space="preserve">in </w:t>
      </w:r>
      <w:r w:rsidR="00DC6556" w:rsidRPr="00FA65C1">
        <w:t>supporting independent system-wide evaluation mechanisms</w:t>
      </w:r>
      <w:r w:rsidR="00DB3C93">
        <w:t xml:space="preserve">, and will </w:t>
      </w:r>
      <w:r w:rsidR="00DB3C93" w:rsidRPr="00DB3C93">
        <w:t>continue to do so in future</w:t>
      </w:r>
      <w:r w:rsidR="00DC6556" w:rsidRPr="00DB3C93">
        <w:t>.</w:t>
      </w:r>
      <w:r w:rsidR="00EB76BD">
        <w:t xml:space="preserve"> </w:t>
      </w:r>
      <w:r w:rsidR="00DC6556" w:rsidRPr="00FA65C1">
        <w:t>In 2016,</w:t>
      </w:r>
      <w:r w:rsidR="005804B9">
        <w:t xml:space="preserve"> the Evaluation Office</w:t>
      </w:r>
      <w:r w:rsidR="00DC6556" w:rsidRPr="00FA65C1">
        <w:t xml:space="preserve"> </w:t>
      </w:r>
      <w:r w:rsidR="00FA3182">
        <w:t>supported</w:t>
      </w:r>
      <w:r w:rsidR="00DC6556" w:rsidRPr="00FA65C1">
        <w:t xml:space="preserve"> in two independent system-wide evaluations, led by the Joint Inspection Unit. Both evaluations were part of a pilot to develop and test independent system-wide evaluation mechanism in the United Nations system. In 2017,</w:t>
      </w:r>
      <w:r w:rsidR="005804B9">
        <w:t xml:space="preserve"> </w:t>
      </w:r>
      <w:r w:rsidR="002034FC" w:rsidRPr="002034FC">
        <w:t xml:space="preserve">through the UNEG, </w:t>
      </w:r>
      <w:r w:rsidR="005804B9">
        <w:t>the Evaluation Office</w:t>
      </w:r>
      <w:r w:rsidR="00DC6556" w:rsidRPr="00FA65C1">
        <w:t xml:space="preserve"> also supported the external review of the independent system-wide </w:t>
      </w:r>
      <w:r w:rsidR="00DC6556" w:rsidRPr="00FA65C1">
        <w:lastRenderedPageBreak/>
        <w:t xml:space="preserve">evaluation mechanism, which recommended the establishment of an independent system-wide evaluation unit. In addition, technical advice was </w:t>
      </w:r>
      <w:r w:rsidR="002034FC">
        <w:t xml:space="preserve">also </w:t>
      </w:r>
      <w:r w:rsidR="00DC6556" w:rsidRPr="00FA65C1">
        <w:t>delivered</w:t>
      </w:r>
      <w:r w:rsidR="002034FC">
        <w:t>,</w:t>
      </w:r>
      <w:r w:rsidR="00DC6556" w:rsidRPr="00FA65C1">
        <w:t xml:space="preserve"> </w:t>
      </w:r>
      <w:r w:rsidR="002034FC" w:rsidRPr="002034FC">
        <w:t xml:space="preserve">through the UNEG, </w:t>
      </w:r>
      <w:r w:rsidR="00DC6556" w:rsidRPr="00FA65C1">
        <w:t xml:space="preserve">to the </w:t>
      </w:r>
      <w:r w:rsidR="005804B9">
        <w:t xml:space="preserve">United Nations </w:t>
      </w:r>
      <w:r>
        <w:t>S</w:t>
      </w:r>
      <w:r w:rsidR="00DC6556" w:rsidRPr="00FA65C1">
        <w:t>ecretary</w:t>
      </w:r>
      <w:r>
        <w:t>-G</w:t>
      </w:r>
      <w:r w:rsidR="00DC6556" w:rsidRPr="00FA65C1">
        <w:t>eneral</w:t>
      </w:r>
      <w:r>
        <w:t>’s</w:t>
      </w:r>
      <w:r w:rsidR="00DC6556" w:rsidRPr="00FA65C1">
        <w:t xml:space="preserve"> office in further developing the proposal </w:t>
      </w:r>
      <w:r w:rsidR="00FA3182">
        <w:t xml:space="preserve">to </w:t>
      </w:r>
      <w:r w:rsidR="00FA3182" w:rsidRPr="00FA3182">
        <w:t xml:space="preserve">establish an independent system-wide evaluation unit </w:t>
      </w:r>
      <w:r w:rsidR="00DC6556" w:rsidRPr="00FA65C1">
        <w:t xml:space="preserve">presented in the </w:t>
      </w:r>
      <w:r w:rsidR="00DB3C93" w:rsidRPr="00DB3C93">
        <w:t xml:space="preserve">Secretary-General’s </w:t>
      </w:r>
      <w:r w:rsidR="00DC6556" w:rsidRPr="00FA65C1">
        <w:t>report</w:t>
      </w:r>
      <w:r w:rsidR="00DB3C93">
        <w:t>:</w:t>
      </w:r>
      <w:r w:rsidR="00DC6556" w:rsidRPr="00FA65C1">
        <w:t xml:space="preserve"> </w:t>
      </w:r>
      <w:r w:rsidR="00DC6556" w:rsidRPr="002034FC">
        <w:rPr>
          <w:i/>
        </w:rPr>
        <w:t>Repositioning the United Nations development system to deliver on the 2030 Agenda: our promise for dignity, prosperity and peace on a healthy planet</w:t>
      </w:r>
      <w:r w:rsidR="00DC6556" w:rsidRPr="00FA65C1">
        <w:t xml:space="preserve">. </w:t>
      </w:r>
    </w:p>
    <w:p w14:paraId="6899FF7B" w14:textId="77777777" w:rsidR="00DC6556" w:rsidRPr="00FA65C1" w:rsidRDefault="00DC6556" w:rsidP="00B97A14">
      <w:pPr>
        <w:pStyle w:val="Heading21"/>
      </w:pPr>
      <w:r w:rsidRPr="00FA65C1">
        <w:t xml:space="preserve">Joint evaluations </w:t>
      </w:r>
    </w:p>
    <w:p w14:paraId="2FC169AD" w14:textId="4CF10EC0" w:rsidR="00DC6556" w:rsidRPr="00FA65C1" w:rsidRDefault="00DC6556" w:rsidP="00917243">
      <w:pPr>
        <w:pStyle w:val="NUM1para"/>
      </w:pPr>
      <w:r w:rsidRPr="00FA65C1">
        <w:t>UNFPA supports joint evaluation</w:t>
      </w:r>
      <w:r w:rsidR="00DB3C93">
        <w:t>s</w:t>
      </w:r>
      <w:r w:rsidRPr="00FA65C1">
        <w:t xml:space="preserve"> with other </w:t>
      </w:r>
      <w:r w:rsidR="005804B9">
        <w:t xml:space="preserve">United Nations </w:t>
      </w:r>
      <w:r w:rsidR="00DB3C93">
        <w:t>organizations</w:t>
      </w:r>
      <w:r w:rsidRPr="00FA65C1">
        <w:t xml:space="preserve"> both at corporate and decentralized level</w:t>
      </w:r>
      <w:r w:rsidR="00DB3C93">
        <w:t>s</w:t>
      </w:r>
      <w:r w:rsidRPr="00FA65C1">
        <w:t xml:space="preserve">. At corporate level, UNFPA </w:t>
      </w:r>
      <w:r w:rsidR="00DB3C93" w:rsidRPr="00DB3C93">
        <w:t xml:space="preserve">in 2017 </w:t>
      </w:r>
      <w:r w:rsidRPr="00FA65C1">
        <w:t xml:space="preserve">managed, together with UNICEF, the joint scoping exercise for the joint evaluation of </w:t>
      </w:r>
      <w:r w:rsidR="00DB3C93">
        <w:t xml:space="preserve">female genital </w:t>
      </w:r>
      <w:r w:rsidR="00724C79">
        <w:t>mutilation</w:t>
      </w:r>
      <w:r w:rsidRPr="00FA65C1">
        <w:t>, as well as the joint availability assessment of the joint programme on child marriage, in addition to the joint evaluation of the H4+ joint programme.</w:t>
      </w:r>
      <w:r w:rsidR="00DB3C93">
        <w:t xml:space="preserve"> </w:t>
      </w:r>
      <w:r w:rsidRPr="00FA65C1">
        <w:t>At country level, in addition to support</w:t>
      </w:r>
      <w:r w:rsidR="000E51DC">
        <w:t>ing</w:t>
      </w:r>
      <w:r w:rsidRPr="00FA65C1">
        <w:t xml:space="preserve"> UNDAF evaluations, UNFPA also manages joint evaluations. </w:t>
      </w:r>
      <w:r w:rsidR="00FA3182">
        <w:t>For example, i</w:t>
      </w:r>
      <w:r w:rsidRPr="00FA65C1">
        <w:t>n 2017</w:t>
      </w:r>
      <w:r w:rsidR="000E51DC">
        <w:t>,</w:t>
      </w:r>
      <w:r w:rsidRPr="00FA65C1">
        <w:t xml:space="preserve"> UNFPA, together with UNICEF and WFP, managed the joint evaluation of the joint programme on </w:t>
      </w:r>
      <w:r w:rsidR="000E51DC">
        <w:t>g</w:t>
      </w:r>
      <w:r w:rsidRPr="00FA65C1">
        <w:t>irls</w:t>
      </w:r>
      <w:r w:rsidR="000E51DC">
        <w:t>’</w:t>
      </w:r>
      <w:r w:rsidRPr="00FA65C1">
        <w:t xml:space="preserve"> education in Malawi, in close collaboration with the Ministry of Education</w:t>
      </w:r>
      <w:r w:rsidR="000E51DC">
        <w:t xml:space="preserve"> of </w:t>
      </w:r>
      <w:r w:rsidR="000E51DC" w:rsidRPr="000E51DC">
        <w:t>Malawi</w:t>
      </w:r>
      <w:r w:rsidRPr="00FA65C1">
        <w:t>.</w:t>
      </w:r>
      <w:r w:rsidR="00EB76BD">
        <w:t xml:space="preserve"> </w:t>
      </w:r>
    </w:p>
    <w:p w14:paraId="29FFEBB0" w14:textId="2DA952B8" w:rsidR="00DC6556" w:rsidRPr="00FA65C1" w:rsidRDefault="005804B9" w:rsidP="00B97A14">
      <w:pPr>
        <w:pStyle w:val="Heading21"/>
      </w:pPr>
      <w:r>
        <w:t xml:space="preserve">United Nations </w:t>
      </w:r>
      <w:r w:rsidR="00DC6556" w:rsidRPr="00FA65C1">
        <w:t>regional evaluation groups and UNDAF evaluations</w:t>
      </w:r>
    </w:p>
    <w:p w14:paraId="1A5E560A" w14:textId="5280A575" w:rsidR="00DC6556" w:rsidRPr="00FA65C1" w:rsidRDefault="00DC6556" w:rsidP="00917243">
      <w:pPr>
        <w:pStyle w:val="NUM1para"/>
      </w:pPr>
      <w:r w:rsidRPr="00FA65C1">
        <w:t xml:space="preserve">UNFPA has actively supported all UNDAF evaluations managed by the </w:t>
      </w:r>
      <w:r w:rsidR="005804B9">
        <w:t xml:space="preserve">United Nations </w:t>
      </w:r>
      <w:r w:rsidRPr="00FA65C1">
        <w:t>system in 2017</w:t>
      </w:r>
      <w:r w:rsidR="003A3B01">
        <w:t xml:space="preserve"> –</w:t>
      </w:r>
      <w:r w:rsidRPr="00FA65C1">
        <w:t xml:space="preserve"> </w:t>
      </w:r>
      <w:r w:rsidR="003A3B01">
        <w:t>whether</w:t>
      </w:r>
      <w:r w:rsidRPr="00FA65C1">
        <w:t xml:space="preserve"> </w:t>
      </w:r>
      <w:r w:rsidR="003A3B01">
        <w:t xml:space="preserve">through </w:t>
      </w:r>
      <w:r w:rsidRPr="00FA65C1">
        <w:t>technical</w:t>
      </w:r>
      <w:r w:rsidR="003A3B01">
        <w:t xml:space="preserve"> and/or </w:t>
      </w:r>
      <w:r w:rsidRPr="00FA65C1">
        <w:t>financial</w:t>
      </w:r>
      <w:r w:rsidR="003A3B01">
        <w:t xml:space="preserve"> support</w:t>
      </w:r>
      <w:r w:rsidRPr="00FA65C1">
        <w:t xml:space="preserve">. In the majority of cases, UNFPA is a member of the </w:t>
      </w:r>
      <w:r w:rsidR="00116250" w:rsidRPr="00116250">
        <w:t>monitoring and evaluation</w:t>
      </w:r>
      <w:r w:rsidRPr="00116250">
        <w:t xml:space="preserve"> </w:t>
      </w:r>
      <w:r w:rsidRPr="00FA65C1">
        <w:t>task force</w:t>
      </w:r>
      <w:r w:rsidR="003A3B01">
        <w:t xml:space="preserve"> of the United Nations country teams (UNCT)</w:t>
      </w:r>
      <w:r w:rsidRPr="00FA65C1">
        <w:t xml:space="preserve">. UNFPA is co-leading or actively contributing to </w:t>
      </w:r>
      <w:r w:rsidR="005804B9">
        <w:t xml:space="preserve">United Nations </w:t>
      </w:r>
      <w:r w:rsidR="003A3B01">
        <w:t>r</w:t>
      </w:r>
      <w:r w:rsidRPr="00FA65C1">
        <w:t xml:space="preserve">egional evaluation groups, </w:t>
      </w:r>
      <w:r w:rsidR="003A3B01">
        <w:t>comprising</w:t>
      </w:r>
      <w:r w:rsidRPr="00FA65C1">
        <w:t xml:space="preserve"> </w:t>
      </w:r>
      <w:r w:rsidR="003A3B01">
        <w:t xml:space="preserve">the </w:t>
      </w:r>
      <w:r w:rsidR="00116250">
        <w:t>r</w:t>
      </w:r>
      <w:r w:rsidRPr="00FA65C1">
        <w:t xml:space="preserve">egional </w:t>
      </w:r>
      <w:r w:rsidR="00706838" w:rsidRPr="00706838">
        <w:t xml:space="preserve">monitoring and evaluation </w:t>
      </w:r>
      <w:r w:rsidRPr="00FA65C1">
        <w:t xml:space="preserve">advisors of different </w:t>
      </w:r>
      <w:r w:rsidR="005804B9">
        <w:t xml:space="preserve">United Nations </w:t>
      </w:r>
      <w:r w:rsidRPr="00FA65C1">
        <w:t>entities. For example, in Latin America and the Caribbean, UNFPA co-chair</w:t>
      </w:r>
      <w:r w:rsidR="003A3B01">
        <w:t>s</w:t>
      </w:r>
      <w:r w:rsidRPr="00FA65C1">
        <w:t xml:space="preserve"> (together with UNICEF) the interagency regional </w:t>
      </w:r>
      <w:r w:rsidR="00706838" w:rsidRPr="00706838">
        <w:t xml:space="preserve">monitoring and evaluation </w:t>
      </w:r>
      <w:r w:rsidRPr="00FA65C1">
        <w:t xml:space="preserve">task team of the </w:t>
      </w:r>
      <w:r w:rsidR="000008F5" w:rsidRPr="000008F5">
        <w:t xml:space="preserve">Programme Support Group </w:t>
      </w:r>
      <w:r w:rsidR="000008F5">
        <w:t xml:space="preserve">of the </w:t>
      </w:r>
      <w:r w:rsidRPr="00FA65C1">
        <w:t>U</w:t>
      </w:r>
      <w:r w:rsidR="000008F5">
        <w:t xml:space="preserve">nited </w:t>
      </w:r>
      <w:r w:rsidRPr="00FA65C1">
        <w:t>N</w:t>
      </w:r>
      <w:r w:rsidR="000008F5">
        <w:t xml:space="preserve">ations </w:t>
      </w:r>
      <w:r w:rsidRPr="00FA65C1">
        <w:t>D</w:t>
      </w:r>
      <w:r w:rsidR="000008F5">
        <w:t xml:space="preserve">evelopment </w:t>
      </w:r>
      <w:r w:rsidRPr="00FA65C1">
        <w:t>G</w:t>
      </w:r>
      <w:r w:rsidR="000008F5">
        <w:t>roup for the region</w:t>
      </w:r>
      <w:r w:rsidRPr="00FA65C1">
        <w:t xml:space="preserve">, which systematically provides quality assurance and technical assistance to the UNDAF evaluation processes. In </w:t>
      </w:r>
      <w:r w:rsidR="00B2336D">
        <w:t>the Asia P</w:t>
      </w:r>
      <w:r w:rsidRPr="00FA65C1">
        <w:t>acific</w:t>
      </w:r>
      <w:r w:rsidR="00B2336D">
        <w:t xml:space="preserve"> region</w:t>
      </w:r>
      <w:r w:rsidRPr="00FA65C1">
        <w:t xml:space="preserve">, </w:t>
      </w:r>
      <w:r w:rsidR="00B2336D">
        <w:t>besides</w:t>
      </w:r>
      <w:r w:rsidR="00B2336D" w:rsidRPr="00B2336D">
        <w:t xml:space="preserve"> delivering joint training to UNCT members</w:t>
      </w:r>
      <w:r w:rsidR="00B2336D">
        <w:t>,</w:t>
      </w:r>
      <w:r w:rsidR="00B2336D" w:rsidRPr="00B2336D">
        <w:t xml:space="preserve"> </w:t>
      </w:r>
      <w:r w:rsidRPr="00FA65C1">
        <w:t xml:space="preserve">UNFPA is an active member of </w:t>
      </w:r>
      <w:r w:rsidR="00B2336D">
        <w:t>t</w:t>
      </w:r>
      <w:r w:rsidR="00B2336D" w:rsidRPr="00B2336D">
        <w:t>he United Nations Evaluation Development Group for Asia and the Pacific</w:t>
      </w:r>
      <w:r w:rsidRPr="00B2336D">
        <w:t>,</w:t>
      </w:r>
      <w:r w:rsidRPr="00FA65C1">
        <w:t xml:space="preserve"> which support</w:t>
      </w:r>
      <w:r w:rsidR="00B2336D">
        <w:t>s</w:t>
      </w:r>
      <w:r w:rsidRPr="00FA65C1">
        <w:t xml:space="preserve"> UNDAF evaluations in th</w:t>
      </w:r>
      <w:r w:rsidR="00B2336D">
        <w:t>at</w:t>
      </w:r>
      <w:r w:rsidRPr="00FA65C1">
        <w:t xml:space="preserve"> region. </w:t>
      </w:r>
    </w:p>
    <w:p w14:paraId="67C00C6E" w14:textId="56CFC566" w:rsidR="00DC6556" w:rsidRPr="00FA65C1" w:rsidRDefault="00DC6556" w:rsidP="00B97A14">
      <w:pPr>
        <w:pStyle w:val="Heading11"/>
      </w:pPr>
      <w:r w:rsidRPr="00FA65C1">
        <w:t xml:space="preserve">Multi-stakeholder partnerships for </w:t>
      </w:r>
      <w:r w:rsidR="00B2336D">
        <w:t>n</w:t>
      </w:r>
      <w:r w:rsidRPr="00FA65C1">
        <w:t xml:space="preserve">ational </w:t>
      </w:r>
      <w:r w:rsidR="00B2336D">
        <w:t>e</w:t>
      </w:r>
      <w:r w:rsidRPr="00FA65C1">
        <w:t>valuation capacity development</w:t>
      </w:r>
    </w:p>
    <w:p w14:paraId="070A7E1E" w14:textId="04497C25" w:rsidR="00DC6556" w:rsidRPr="00FA65C1" w:rsidRDefault="00B2336D" w:rsidP="00DC6556">
      <w:pPr>
        <w:pStyle w:val="NUM1para"/>
      </w:pPr>
      <w:r>
        <w:t xml:space="preserve">The </w:t>
      </w:r>
      <w:r w:rsidR="00457015">
        <w:t>Evaluation Office</w:t>
      </w:r>
      <w:r w:rsidR="00DC6556" w:rsidRPr="00FA65C1">
        <w:t xml:space="preserve"> has been working to strengthen its engagement for national evaluation capacity development since 2016.</w:t>
      </w:r>
      <w:r w:rsidR="005804B9">
        <w:t xml:space="preserve"> </w:t>
      </w:r>
      <w:r w:rsidR="00457015">
        <w:t>It</w:t>
      </w:r>
      <w:r w:rsidR="00DC6556" w:rsidRPr="00FA65C1">
        <w:t xml:space="preserve"> is member of key multi-stakeholders partnerships, including EvalPartners and EvalGender+. Given the specific mandate for youth, </w:t>
      </w:r>
      <w:r w:rsidR="005804B9">
        <w:t>the Evaluation Office</w:t>
      </w:r>
      <w:r w:rsidR="00DC6556" w:rsidRPr="00FA65C1">
        <w:t xml:space="preserve"> </w:t>
      </w:r>
      <w:r w:rsidR="0084256C" w:rsidRPr="0084256C">
        <w:t xml:space="preserve">in late 2017 </w:t>
      </w:r>
      <w:r w:rsidR="00DC6556" w:rsidRPr="00FA65C1">
        <w:t>started a new partnership with EvalYouth</w:t>
      </w:r>
      <w:r w:rsidR="0084256C">
        <w:t xml:space="preserve"> –</w:t>
      </w:r>
      <w:r w:rsidR="00DC6556" w:rsidRPr="00FA65C1">
        <w:t xml:space="preserve"> an EvalPartners’ global movement of young evaluators </w:t>
      </w:r>
      <w:r w:rsidR="0084256C">
        <w:t>that</w:t>
      </w:r>
      <w:r w:rsidR="00DC6556" w:rsidRPr="00FA65C1">
        <w:t xml:space="preserve"> engages up to 20,000 youth all over the world. </w:t>
      </w:r>
      <w:r w:rsidR="0084256C">
        <w:t>Withi</w:t>
      </w:r>
      <w:r w:rsidR="00DC6556" w:rsidRPr="00FA65C1">
        <w:t>n this framework,</w:t>
      </w:r>
      <w:r w:rsidR="005804B9">
        <w:t xml:space="preserve"> the Evaluation Office</w:t>
      </w:r>
      <w:r w:rsidR="00DC6556" w:rsidRPr="00FA65C1">
        <w:t xml:space="preserve"> supported the second EvalYouth virtual conference</w:t>
      </w:r>
      <w:r w:rsidR="0084256C">
        <w:t>,</w:t>
      </w:r>
      <w:r w:rsidR="00DC6556" w:rsidRPr="00FA65C1">
        <w:t xml:space="preserve"> with 750 young evaluators from all over the world registered, and, together with ASRO and </w:t>
      </w:r>
      <w:r w:rsidR="0084256C">
        <w:t xml:space="preserve">the </w:t>
      </w:r>
      <w:r w:rsidR="00DC6556" w:rsidRPr="00FA65C1">
        <w:t xml:space="preserve">Jordan country office, </w:t>
      </w:r>
      <w:r w:rsidR="0084256C">
        <w:t>helped</w:t>
      </w:r>
      <w:r w:rsidR="00DC6556" w:rsidRPr="00FA65C1">
        <w:t xml:space="preserve"> </w:t>
      </w:r>
      <w:r w:rsidR="0084256C">
        <w:t xml:space="preserve">to </w:t>
      </w:r>
      <w:r w:rsidR="00DC6556" w:rsidRPr="00FA65C1">
        <w:t>organiz</w:t>
      </w:r>
      <w:r w:rsidR="0084256C">
        <w:t>e</w:t>
      </w:r>
      <w:r w:rsidR="00DC6556" w:rsidRPr="00FA65C1">
        <w:t xml:space="preserve"> a </w:t>
      </w:r>
      <w:r w:rsidR="00724C79" w:rsidRPr="00FA65C1">
        <w:t>capacity-building</w:t>
      </w:r>
      <w:r w:rsidR="00DC6556" w:rsidRPr="00FA65C1">
        <w:t xml:space="preserve"> workshop for young evaluators in the region, leading to the launch of the EvalYouth MENA chapter. </w:t>
      </w:r>
    </w:p>
    <w:p w14:paraId="3894E99D" w14:textId="6381529A" w:rsidR="00DC6556" w:rsidRPr="00FA65C1" w:rsidRDefault="0084256C" w:rsidP="00DC6556">
      <w:pPr>
        <w:pStyle w:val="NUM1para"/>
      </w:pPr>
      <w:r>
        <w:t xml:space="preserve">The </w:t>
      </w:r>
      <w:r w:rsidR="00DC6556" w:rsidRPr="00FA65C1">
        <w:t xml:space="preserve">Evaluation Office supported the regional evaluation conference organized by EvalMENA in Jordan, </w:t>
      </w:r>
      <w:r>
        <w:t>and</w:t>
      </w:r>
      <w:r w:rsidR="00DC6556" w:rsidRPr="00FA65C1">
        <w:t xml:space="preserve"> deliver</w:t>
      </w:r>
      <w:r>
        <w:t>ed</w:t>
      </w:r>
      <w:r w:rsidR="00DC6556" w:rsidRPr="00FA65C1">
        <w:t xml:space="preserve"> the keynote opening speech on </w:t>
      </w:r>
      <w:r w:rsidR="00724C79" w:rsidRPr="00FA65C1">
        <w:t>“Evaluating</w:t>
      </w:r>
      <w:r w:rsidR="00DC6556" w:rsidRPr="00FA65C1">
        <w:t xml:space="preserve"> humanitarian assistance and refugee response in the context of the 2030 Agenda for Sustainable Development.” About 200 participants from all over the region, including representatives of Governments, </w:t>
      </w:r>
      <w:r>
        <w:t>civil society organizations</w:t>
      </w:r>
      <w:r w:rsidR="00DC6556" w:rsidRPr="00FA65C1">
        <w:t>, academia, parliamentarians and young evaluators, attended the conference.</w:t>
      </w:r>
      <w:r w:rsidR="00EB76BD">
        <w:t xml:space="preserve"> </w:t>
      </w:r>
    </w:p>
    <w:p w14:paraId="43D30606" w14:textId="370643A1" w:rsidR="00DC6556" w:rsidRPr="00FA65C1" w:rsidRDefault="0084256C" w:rsidP="00DC6556">
      <w:pPr>
        <w:pStyle w:val="NUM1para"/>
      </w:pPr>
      <w:r>
        <w:t xml:space="preserve">The </w:t>
      </w:r>
      <w:r w:rsidR="00DC6556" w:rsidRPr="00FA65C1">
        <w:t xml:space="preserve">Evaluation office and EECARO contributed to the international conference on strengthening national evaluations systems organized by UNDP. The Latin America and </w:t>
      </w:r>
      <w:r w:rsidR="00DC6556" w:rsidRPr="00FA65C1">
        <w:lastRenderedPageBreak/>
        <w:t xml:space="preserve">Caribbean </w:t>
      </w:r>
      <w:r>
        <w:t>Regional O</w:t>
      </w:r>
      <w:r w:rsidR="00DC6556" w:rsidRPr="00FA65C1">
        <w:t xml:space="preserve">ffice worked closely with </w:t>
      </w:r>
      <w:r>
        <w:t>G</w:t>
      </w:r>
      <w:r w:rsidR="00DC6556" w:rsidRPr="00FA65C1">
        <w:t xml:space="preserve">overnments in Panama, Dominican Republic and Uruguay to support them in evaluating national policy initiatives. </w:t>
      </w:r>
    </w:p>
    <w:p w14:paraId="00875D89" w14:textId="6022B99E" w:rsidR="00DC6556" w:rsidRPr="00FA65C1" w:rsidRDefault="00DC6556" w:rsidP="00B97A14">
      <w:pPr>
        <w:pStyle w:val="Heading11"/>
      </w:pPr>
      <w:bookmarkStart w:id="14" w:name="_Toc505873970"/>
      <w:r w:rsidRPr="00FA65C1">
        <w:t>The Evaluation Office programme of work in 2018</w:t>
      </w:r>
      <w:bookmarkEnd w:id="14"/>
    </w:p>
    <w:p w14:paraId="0F1576A9" w14:textId="2E94E658" w:rsidR="00DC6556" w:rsidRPr="00FA65C1" w:rsidRDefault="00864DA1" w:rsidP="00DC6556">
      <w:pPr>
        <w:pStyle w:val="NUM1para"/>
      </w:pPr>
      <w:r>
        <w:t>T</w:t>
      </w:r>
      <w:r w:rsidR="005804B9">
        <w:t>he Evaluation Office</w:t>
      </w:r>
      <w:r w:rsidR="00DC6556" w:rsidRPr="00FA65C1">
        <w:t xml:space="preserve"> will continue </w:t>
      </w:r>
      <w:r>
        <w:t xml:space="preserve">in 2018 </w:t>
      </w:r>
      <w:r w:rsidR="00DC6556" w:rsidRPr="00FA65C1">
        <w:t xml:space="preserve">its work in the following four key results areas. </w:t>
      </w:r>
    </w:p>
    <w:p w14:paraId="76EC30EA" w14:textId="77777777" w:rsidR="00DC6556" w:rsidRPr="00FA65C1" w:rsidRDefault="00DC6556" w:rsidP="00B97A14">
      <w:pPr>
        <w:pStyle w:val="Heading21"/>
        <w:numPr>
          <w:ilvl w:val="0"/>
          <w:numId w:val="20"/>
        </w:numPr>
      </w:pPr>
      <w:bookmarkStart w:id="15" w:name="_Toc505873971"/>
      <w:r w:rsidRPr="00FA65C1">
        <w:t>Corporate evaluations</w:t>
      </w:r>
      <w:bookmarkEnd w:id="15"/>
    </w:p>
    <w:p w14:paraId="64F126DC" w14:textId="2C9182E4" w:rsidR="00DC6556" w:rsidRPr="00FA65C1" w:rsidRDefault="00DC6556" w:rsidP="00DC6556">
      <w:pPr>
        <w:pStyle w:val="NUM1para"/>
      </w:pPr>
      <w:r w:rsidRPr="00FA65C1">
        <w:t xml:space="preserve">As detailed in the </w:t>
      </w:r>
      <w:r w:rsidR="00864DA1">
        <w:t>q</w:t>
      </w:r>
      <w:r w:rsidRPr="00FA65C1">
        <w:t xml:space="preserve">uadrennial </w:t>
      </w:r>
      <w:r w:rsidR="00864DA1">
        <w:t>b</w:t>
      </w:r>
      <w:r w:rsidRPr="00FA65C1">
        <w:t xml:space="preserve">udgeted </w:t>
      </w:r>
      <w:r w:rsidR="00864DA1">
        <w:t>e</w:t>
      </w:r>
      <w:r w:rsidRPr="00FA65C1">
        <w:t xml:space="preserve">valuation </w:t>
      </w:r>
      <w:r w:rsidR="00864DA1">
        <w:t>p</w:t>
      </w:r>
      <w:r w:rsidRPr="00FA65C1">
        <w:t>lan, 2018-2021,</w:t>
      </w:r>
      <w:r w:rsidR="005804B9">
        <w:t xml:space="preserve"> the Evaluation Office</w:t>
      </w:r>
      <w:r w:rsidRPr="00FA65C1">
        <w:t xml:space="preserve"> will manage seven corporate evaluations. Three </w:t>
      </w:r>
      <w:r w:rsidR="00864DA1">
        <w:t xml:space="preserve">evaluation </w:t>
      </w:r>
      <w:r w:rsidRPr="00FA65C1">
        <w:t xml:space="preserve">were </w:t>
      </w:r>
      <w:r w:rsidR="00580187">
        <w:t>begun in</w:t>
      </w:r>
      <w:r w:rsidRPr="00FA65C1">
        <w:t xml:space="preserve"> 2017</w:t>
      </w:r>
      <w:r w:rsidR="00864DA1">
        <w:t>; these</w:t>
      </w:r>
      <w:r w:rsidRPr="00FA65C1">
        <w:t xml:space="preserve"> will be finalized in 2018: </w:t>
      </w:r>
      <w:r w:rsidR="00864DA1">
        <w:t>(</w:t>
      </w:r>
      <w:r w:rsidRPr="00FA65C1">
        <w:t xml:space="preserve">a) </w:t>
      </w:r>
      <w:r w:rsidRPr="00FA65C1">
        <w:rPr>
          <w:bCs/>
        </w:rPr>
        <w:t xml:space="preserve">Midterm evaluation of the UNFPA supplies programme; </w:t>
      </w:r>
      <w:r w:rsidR="00864DA1">
        <w:rPr>
          <w:bCs/>
        </w:rPr>
        <w:t>(</w:t>
      </w:r>
      <w:r w:rsidRPr="00FA65C1">
        <w:rPr>
          <w:bCs/>
        </w:rPr>
        <w:t xml:space="preserve">b) Evaluation of the UNFPA response to the Syria crisis; </w:t>
      </w:r>
      <w:r w:rsidR="00864DA1">
        <w:rPr>
          <w:bCs/>
        </w:rPr>
        <w:t>(</w:t>
      </w:r>
      <w:r w:rsidRPr="00FA65C1">
        <w:rPr>
          <w:bCs/>
        </w:rPr>
        <w:t xml:space="preserve">c) Meta-analysis of the engagement of UNFPA in highly vulnerable contexts. Four </w:t>
      </w:r>
      <w:r w:rsidR="00864DA1">
        <w:rPr>
          <w:bCs/>
        </w:rPr>
        <w:t xml:space="preserve">corporate evaluations </w:t>
      </w:r>
      <w:r w:rsidRPr="00FA65C1">
        <w:rPr>
          <w:bCs/>
        </w:rPr>
        <w:t xml:space="preserve">will be </w:t>
      </w:r>
      <w:r w:rsidRPr="00FA65C1">
        <w:t>initiated in 2018</w:t>
      </w:r>
      <w:r w:rsidR="00580187">
        <w:t>,</w:t>
      </w:r>
      <w:r w:rsidR="00864DA1">
        <w:t xml:space="preserve"> </w:t>
      </w:r>
      <w:r w:rsidR="00580187">
        <w:t>to</w:t>
      </w:r>
      <w:r w:rsidRPr="00FA65C1">
        <w:t xml:space="preserve"> be completed in 2019: (a) Evaluation of UNFPA capacity to resp</w:t>
      </w:r>
      <w:r w:rsidR="00580187">
        <w:t>ond to humanitarian crisis; (b) </w:t>
      </w:r>
      <w:r w:rsidRPr="00FA65C1">
        <w:t>Evaluation of results-based management approaches; (c) joint evaluation of the UNFPA-UNICEF Joint Programme on the Abandonment of Female Genital Mutilation: Accelerating Change (Phases I and II); and</w:t>
      </w:r>
      <w:r w:rsidR="00EB1377">
        <w:t xml:space="preserve"> (d) </w:t>
      </w:r>
      <w:r w:rsidR="00AF289C">
        <w:t>[</w:t>
      </w:r>
      <w:r w:rsidR="00580187" w:rsidRPr="00580187">
        <w:t>as a member of IAHE</w:t>
      </w:r>
      <w:r w:rsidR="00AF289C">
        <w:t>]</w:t>
      </w:r>
      <w:r w:rsidR="00580187">
        <w:t xml:space="preserve"> </w:t>
      </w:r>
      <w:r w:rsidRPr="00FA65C1">
        <w:t xml:space="preserve">a system-wide inter-agency humanitarian evaluation. </w:t>
      </w:r>
    </w:p>
    <w:p w14:paraId="34E0EA8F" w14:textId="77777777" w:rsidR="00DC6556" w:rsidRPr="00FA65C1" w:rsidRDefault="00DC6556" w:rsidP="00B97A14">
      <w:pPr>
        <w:pStyle w:val="Heading21"/>
      </w:pPr>
      <w:bookmarkStart w:id="16" w:name="_Toc505873972"/>
      <w:r w:rsidRPr="00FA65C1">
        <w:t>Decentralized evaluation system</w:t>
      </w:r>
      <w:bookmarkEnd w:id="16"/>
    </w:p>
    <w:p w14:paraId="0D9D9C23" w14:textId="2EE8D2D6" w:rsidR="00DC6556" w:rsidRPr="00FA65C1" w:rsidRDefault="00DC6556" w:rsidP="00DC6556">
      <w:pPr>
        <w:pStyle w:val="NUM1para"/>
      </w:pPr>
      <w:r w:rsidRPr="00FA65C1">
        <w:t xml:space="preserve">As detailed in the </w:t>
      </w:r>
      <w:r w:rsidR="00580187">
        <w:t>q</w:t>
      </w:r>
      <w:r w:rsidRPr="00FA65C1">
        <w:t xml:space="preserve">uadrennial </w:t>
      </w:r>
      <w:r w:rsidR="00580187">
        <w:t>b</w:t>
      </w:r>
      <w:r w:rsidRPr="00FA65C1">
        <w:t>udget</w:t>
      </w:r>
      <w:r w:rsidR="00580187">
        <w:t>ed</w:t>
      </w:r>
      <w:r w:rsidRPr="00FA65C1">
        <w:t xml:space="preserve"> </w:t>
      </w:r>
      <w:r w:rsidR="00580187">
        <w:t>e</w:t>
      </w:r>
      <w:r w:rsidRPr="00FA65C1">
        <w:t xml:space="preserve">valuation </w:t>
      </w:r>
      <w:r w:rsidR="00580187">
        <w:t>p</w:t>
      </w:r>
      <w:r w:rsidRPr="00FA65C1">
        <w:t xml:space="preserve">lan </w:t>
      </w:r>
      <w:r w:rsidR="00580187" w:rsidRPr="00580187">
        <w:t>2018-2021</w:t>
      </w:r>
      <w:r w:rsidR="00580187">
        <w:t>,</w:t>
      </w:r>
      <w:r w:rsidR="00580187" w:rsidRPr="00580187">
        <w:t xml:space="preserve"> </w:t>
      </w:r>
      <w:r w:rsidR="00FA3182">
        <w:t>country and regional o</w:t>
      </w:r>
      <w:r w:rsidR="00694CED" w:rsidRPr="00694CED">
        <w:t>ffice</w:t>
      </w:r>
      <w:r w:rsidR="00FA3182">
        <w:t>s have</w:t>
      </w:r>
      <w:r w:rsidR="00694CED">
        <w:t xml:space="preserve"> planned </w:t>
      </w:r>
      <w:r w:rsidRPr="00FA65C1">
        <w:t>14 country programme evaluations and 3 regional programme evaluations for 2018.</w:t>
      </w:r>
      <w:r w:rsidR="00EB76BD">
        <w:t xml:space="preserve"> </w:t>
      </w:r>
      <w:r w:rsidRPr="00FA65C1">
        <w:t xml:space="preserve">To support implementation, quality </w:t>
      </w:r>
      <w:r w:rsidR="00580187">
        <w:t xml:space="preserve">assurance </w:t>
      </w:r>
      <w:r w:rsidRPr="00FA65C1">
        <w:t>and use of these evaluations,</w:t>
      </w:r>
      <w:r w:rsidR="005804B9">
        <w:t xml:space="preserve"> </w:t>
      </w:r>
      <w:r w:rsidR="00FA3182">
        <w:t>the Evaluation Office</w:t>
      </w:r>
      <w:r w:rsidR="00694CED">
        <w:t xml:space="preserve"> </w:t>
      </w:r>
      <w:r w:rsidRPr="00FA65C1">
        <w:t xml:space="preserve">will continue </w:t>
      </w:r>
      <w:r w:rsidR="00694CED">
        <w:t xml:space="preserve">to </w:t>
      </w:r>
      <w:r w:rsidRPr="00FA65C1">
        <w:t xml:space="preserve">strengthen the decentralized evaluation system through: </w:t>
      </w:r>
      <w:r w:rsidR="00694CED">
        <w:t>(</w:t>
      </w:r>
      <w:r w:rsidRPr="00FA65C1">
        <w:t xml:space="preserve">a) </w:t>
      </w:r>
      <w:r w:rsidR="00694CED">
        <w:t xml:space="preserve">an </w:t>
      </w:r>
      <w:r w:rsidRPr="00FA65C1">
        <w:t xml:space="preserve">update of </w:t>
      </w:r>
      <w:r w:rsidR="00694CED">
        <w:t xml:space="preserve">the </w:t>
      </w:r>
      <w:r w:rsidRPr="00FA65C1">
        <w:t xml:space="preserve">handbook on country programme evaluation, </w:t>
      </w:r>
      <w:r w:rsidR="00694CED">
        <w:t xml:space="preserve">along with the </w:t>
      </w:r>
      <w:r w:rsidRPr="00FA65C1">
        <w:t>development of accompanying e</w:t>
      </w:r>
      <w:r w:rsidR="00694CED">
        <w:noBreakHyphen/>
      </w:r>
      <w:r w:rsidRPr="00FA65C1">
        <w:t xml:space="preserve">learning; </w:t>
      </w:r>
      <w:r w:rsidR="00694CED">
        <w:t>(</w:t>
      </w:r>
      <w:r w:rsidRPr="00FA65C1">
        <w:t xml:space="preserve">b) delivery of technical support; </w:t>
      </w:r>
      <w:r w:rsidR="00694CED">
        <w:t>(</w:t>
      </w:r>
      <w:r w:rsidRPr="00FA65C1">
        <w:t xml:space="preserve">c) evaluation capacity development initiatives; and </w:t>
      </w:r>
      <w:r w:rsidR="00694CED">
        <w:t>(</w:t>
      </w:r>
      <w:r w:rsidRPr="00FA65C1">
        <w:t xml:space="preserve">d) quality assurance and assessment mechanisms. In addition, </w:t>
      </w:r>
      <w:r w:rsidR="00694CED">
        <w:t xml:space="preserve">it will maintain </w:t>
      </w:r>
      <w:r w:rsidRPr="00FA65C1">
        <w:t xml:space="preserve">the roster of evaluation consultants and </w:t>
      </w:r>
      <w:r w:rsidR="00694CED">
        <w:t xml:space="preserve">the </w:t>
      </w:r>
      <w:r w:rsidRPr="00FA65C1">
        <w:t xml:space="preserve">knowledge management system. </w:t>
      </w:r>
    </w:p>
    <w:p w14:paraId="0CF49E04" w14:textId="301FDD47" w:rsidR="00DC6556" w:rsidRPr="00FA65C1" w:rsidRDefault="00DC6556" w:rsidP="00B97A14">
      <w:pPr>
        <w:pStyle w:val="Heading21"/>
      </w:pPr>
      <w:bookmarkStart w:id="17" w:name="_Toc505873973"/>
      <w:r w:rsidRPr="00FA65C1">
        <w:t xml:space="preserve">Enhancing coherence in the </w:t>
      </w:r>
      <w:r w:rsidR="005804B9">
        <w:t xml:space="preserve">United Nations </w:t>
      </w:r>
      <w:r w:rsidR="00862464">
        <w:t>system</w:t>
      </w:r>
      <w:r w:rsidRPr="00FA65C1">
        <w:t xml:space="preserve"> evaluation functions</w:t>
      </w:r>
    </w:p>
    <w:p w14:paraId="11D1C5CE" w14:textId="298867B3" w:rsidR="00DC6556" w:rsidRPr="00FA65C1" w:rsidRDefault="00457015" w:rsidP="00DC6556">
      <w:pPr>
        <w:pStyle w:val="NUM1para"/>
      </w:pPr>
      <w:r w:rsidRPr="00457015">
        <w:t xml:space="preserve">The Evaluation Office </w:t>
      </w:r>
      <w:r w:rsidR="00DC6556" w:rsidRPr="00FA65C1">
        <w:t xml:space="preserve">will continue to be an active participant in UNEG, IAHE, </w:t>
      </w:r>
      <w:r w:rsidR="00407373" w:rsidRPr="00407373">
        <w:t>the United Nations System-wide Action Plan on Gender Equality and the Empowerment of Women</w:t>
      </w:r>
      <w:r w:rsidR="00407373">
        <w:t>,</w:t>
      </w:r>
      <w:r w:rsidR="00407373" w:rsidRPr="00407373">
        <w:t xml:space="preserve"> </w:t>
      </w:r>
      <w:r w:rsidR="00DC6556" w:rsidRPr="00FA65C1">
        <w:t xml:space="preserve">and </w:t>
      </w:r>
      <w:r w:rsidR="00EB1377">
        <w:t xml:space="preserve">other </w:t>
      </w:r>
      <w:r w:rsidR="00DC6556" w:rsidRPr="00FA65C1">
        <w:t xml:space="preserve">system-wide </w:t>
      </w:r>
      <w:r w:rsidR="00EB1377" w:rsidRPr="00EB1377">
        <w:t xml:space="preserve">evaluation </w:t>
      </w:r>
      <w:r w:rsidR="00DC6556" w:rsidRPr="00FA65C1">
        <w:t>initiatives. It will continue to co-lead or take part in UNEG taskforces on the professionalization of evaluation, the decentralized evaluation function, gender and human rights</w:t>
      </w:r>
      <w:r w:rsidR="00EB1377">
        <w:t>,</w:t>
      </w:r>
      <w:r w:rsidR="00DC6556" w:rsidRPr="00FA65C1">
        <w:t xml:space="preserve"> and on humanitarian issues. The Office will also </w:t>
      </w:r>
      <w:r w:rsidR="00EB1377">
        <w:t>continue</w:t>
      </w:r>
      <w:r w:rsidR="00DC6556" w:rsidRPr="00FA65C1">
        <w:t xml:space="preserve"> working with IAHE and seek membership to the Active Learning Network for Accountability and Performance in Humanitarian Action, a global network whose members are </w:t>
      </w:r>
      <w:r w:rsidR="00EB1377" w:rsidRPr="00EB1377">
        <w:t>Governments,</w:t>
      </w:r>
      <w:r w:rsidR="00EB1377">
        <w:t xml:space="preserve"> </w:t>
      </w:r>
      <w:r w:rsidR="005804B9">
        <w:t xml:space="preserve">United Nations </w:t>
      </w:r>
      <w:r w:rsidR="00EB1377">
        <w:t>agencies</w:t>
      </w:r>
      <w:r w:rsidR="00DC6556" w:rsidRPr="00FA65C1">
        <w:t xml:space="preserve">, </w:t>
      </w:r>
      <w:r w:rsidR="00EB1377">
        <w:t>civil society organizations</w:t>
      </w:r>
      <w:r w:rsidR="00DC6556" w:rsidRPr="00FA65C1">
        <w:t xml:space="preserve"> and academ</w:t>
      </w:r>
      <w:r w:rsidR="00EB1377">
        <w:t>ic institutions</w:t>
      </w:r>
      <w:r w:rsidR="00DC6556" w:rsidRPr="00FA65C1">
        <w:t>.</w:t>
      </w:r>
      <w:r w:rsidR="00EB1377">
        <w:t xml:space="preserve"> </w:t>
      </w:r>
    </w:p>
    <w:bookmarkEnd w:id="17"/>
    <w:p w14:paraId="379E2868" w14:textId="2311F0CA" w:rsidR="00DC6556" w:rsidRPr="00457015" w:rsidRDefault="00862464" w:rsidP="00457015">
      <w:pPr>
        <w:pStyle w:val="Heading21"/>
      </w:pPr>
      <w:r>
        <w:t>Multi-stakeholder</w:t>
      </w:r>
      <w:r w:rsidR="00DC6556" w:rsidRPr="00FA65C1">
        <w:t xml:space="preserve"> partnerships for </w:t>
      </w:r>
      <w:r w:rsidR="00457015" w:rsidRPr="00457015">
        <w:t>national evaluation capacity development</w:t>
      </w:r>
    </w:p>
    <w:p w14:paraId="74747740" w14:textId="576AFE86" w:rsidR="00DC6556" w:rsidRPr="00FA65C1" w:rsidRDefault="00457015" w:rsidP="00DC6556">
      <w:pPr>
        <w:pStyle w:val="NUM1para"/>
      </w:pPr>
      <w:r>
        <w:t>T</w:t>
      </w:r>
      <w:r w:rsidR="005804B9">
        <w:t>he Evaluation Office</w:t>
      </w:r>
      <w:r w:rsidR="00DC6556" w:rsidRPr="00FA65C1">
        <w:t xml:space="preserve"> will continue its engagement in </w:t>
      </w:r>
      <w:r w:rsidR="00862464">
        <w:t>multi-stakeholder</w:t>
      </w:r>
      <w:r w:rsidR="00DC6556" w:rsidRPr="00FA65C1">
        <w:t xml:space="preserve"> partnerships for </w:t>
      </w:r>
      <w:r w:rsidRPr="00457015">
        <w:t>national evaluation capacity development</w:t>
      </w:r>
      <w:r w:rsidR="00DC6556" w:rsidRPr="00457015">
        <w:t>,</w:t>
      </w:r>
      <w:r w:rsidR="00DC6556" w:rsidRPr="00FA65C1">
        <w:t xml:space="preserve"> including </w:t>
      </w:r>
      <w:r w:rsidR="00EB1377">
        <w:t xml:space="preserve">with </w:t>
      </w:r>
      <w:r w:rsidR="00DC6556" w:rsidRPr="00FA65C1">
        <w:t xml:space="preserve">EvalPartners, EvalYouth and Evalgender+. </w:t>
      </w:r>
    </w:p>
    <w:p w14:paraId="7D5D8819" w14:textId="77777777" w:rsidR="00DC6556" w:rsidRPr="00FA65C1" w:rsidRDefault="00DC6556" w:rsidP="00B97A14">
      <w:pPr>
        <w:pStyle w:val="Heading21"/>
      </w:pPr>
      <w:bookmarkStart w:id="18" w:name="_Toc505873974"/>
      <w:r w:rsidRPr="00FA65C1">
        <w:t>Budget for the 2018 work plan</w:t>
      </w:r>
      <w:bookmarkEnd w:id="18"/>
    </w:p>
    <w:p w14:paraId="1EFE717C" w14:textId="2A6658F7" w:rsidR="00DC6556" w:rsidRPr="00FA65C1" w:rsidRDefault="00457015" w:rsidP="00DC6556">
      <w:pPr>
        <w:pStyle w:val="NUM1para"/>
      </w:pPr>
      <w:r>
        <w:t>A</w:t>
      </w:r>
      <w:r w:rsidRPr="00457015">
        <w:t>s of February 2018</w:t>
      </w:r>
      <w:r>
        <w:t>, t</w:t>
      </w:r>
      <w:r w:rsidR="00DC6556" w:rsidRPr="00FA65C1">
        <w:t>he total budget of</w:t>
      </w:r>
      <w:r w:rsidR="005804B9">
        <w:t xml:space="preserve"> the Evaluation </w:t>
      </w:r>
      <w:r w:rsidRPr="00457015">
        <w:t xml:space="preserve">Office </w:t>
      </w:r>
      <w:r w:rsidR="00DC6556" w:rsidRPr="00FA65C1">
        <w:t xml:space="preserve">for 2018 </w:t>
      </w:r>
      <w:r w:rsidR="00EB1377">
        <w:t>wa</w:t>
      </w:r>
      <w:r w:rsidR="00DC6556" w:rsidRPr="00FA65C1">
        <w:t>s $4,381,719. The budget comprise</w:t>
      </w:r>
      <w:r>
        <w:t>s</w:t>
      </w:r>
      <w:r w:rsidR="00DC6556" w:rsidRPr="00FA65C1">
        <w:t xml:space="preserve"> two funding categories: </w:t>
      </w:r>
      <w:r>
        <w:t xml:space="preserve">(a) </w:t>
      </w:r>
      <w:r w:rsidR="00DC6556" w:rsidRPr="00FA65C1">
        <w:t xml:space="preserve">institutional budget ($2,981,181) and </w:t>
      </w:r>
      <w:r>
        <w:t>(b) </w:t>
      </w:r>
      <w:r w:rsidR="00DC6556" w:rsidRPr="00FA65C1">
        <w:t>non-core resources ($1,400,538).</w:t>
      </w:r>
    </w:p>
    <w:p w14:paraId="77AD6167" w14:textId="074D5B54" w:rsidR="00103292" w:rsidRPr="00FA65C1" w:rsidRDefault="00103292" w:rsidP="007B4BB9">
      <w:pPr>
        <w:ind w:left="1260"/>
        <w:contextualSpacing/>
        <w:jc w:val="center"/>
      </w:pPr>
      <w:r w:rsidRPr="00FA65C1">
        <w:t>________</w:t>
      </w:r>
    </w:p>
    <w:sectPr w:rsidR="00103292" w:rsidRPr="00FA65C1" w:rsidSect="00CB3C56">
      <w:headerReference w:type="even" r:id="rId13"/>
      <w:headerReference w:type="default" r:id="rId14"/>
      <w:footerReference w:type="even" r:id="rId15"/>
      <w:footerReference w:type="default" r:id="rId16"/>
      <w:headerReference w:type="first" r:id="rId17"/>
      <w:pgSz w:w="12240" w:h="15840" w:code="1"/>
      <w:pgMar w:top="1728" w:right="1440" w:bottom="1440" w:left="1440" w:header="1440" w:footer="115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99D34" w14:textId="77777777" w:rsidR="00803322" w:rsidRDefault="00803322">
      <w:r>
        <w:separator/>
      </w:r>
    </w:p>
  </w:endnote>
  <w:endnote w:type="continuationSeparator" w:id="0">
    <w:p w14:paraId="0BF824A8" w14:textId="77777777" w:rsidR="00803322" w:rsidRDefault="008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C8974" w14:textId="0D556924" w:rsidR="00917243" w:rsidRPr="00747499" w:rsidRDefault="00917243" w:rsidP="0001593A">
    <w:pPr>
      <w:pStyle w:val="Footer"/>
      <w:rPr>
        <w:noProof/>
        <w:sz w:val="17"/>
        <w:szCs w:val="17"/>
      </w:rPr>
    </w:pPr>
    <w:r w:rsidRPr="00747499">
      <w:rPr>
        <w:b/>
        <w:sz w:val="17"/>
        <w:szCs w:val="17"/>
      </w:rPr>
      <w:fldChar w:fldCharType="begin"/>
    </w:r>
    <w:r w:rsidRPr="00747499">
      <w:rPr>
        <w:b/>
        <w:sz w:val="17"/>
        <w:szCs w:val="17"/>
      </w:rPr>
      <w:instrText xml:space="preserve"> PAGE   \* MERGEFORMAT </w:instrText>
    </w:r>
    <w:r w:rsidRPr="00747499">
      <w:rPr>
        <w:b/>
        <w:sz w:val="17"/>
        <w:szCs w:val="17"/>
      </w:rPr>
      <w:fldChar w:fldCharType="separate"/>
    </w:r>
    <w:r w:rsidR="00E33A21">
      <w:rPr>
        <w:b/>
        <w:noProof/>
        <w:sz w:val="17"/>
        <w:szCs w:val="17"/>
      </w:rPr>
      <w:t>18</w:t>
    </w:r>
    <w:r w:rsidRPr="00747499">
      <w:rPr>
        <w:b/>
        <w:noProof/>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216494"/>
      <w:docPartObj>
        <w:docPartGallery w:val="Page Numbers (Bottom of Page)"/>
        <w:docPartUnique/>
      </w:docPartObj>
    </w:sdtPr>
    <w:sdtEndPr>
      <w:rPr>
        <w:noProof/>
      </w:rPr>
    </w:sdtEndPr>
    <w:sdtContent>
      <w:p w14:paraId="40955B16" w14:textId="01403B14" w:rsidR="00917243" w:rsidRPr="00747499" w:rsidRDefault="00917243" w:rsidP="00747499">
        <w:pPr>
          <w:pStyle w:val="Footer"/>
          <w:jc w:val="right"/>
          <w:rPr>
            <w:sz w:val="17"/>
            <w:szCs w:val="17"/>
          </w:rPr>
        </w:pPr>
        <w:r w:rsidRPr="00EC14DC">
          <w:rPr>
            <w:b/>
            <w:sz w:val="17"/>
            <w:szCs w:val="17"/>
          </w:rPr>
          <w:fldChar w:fldCharType="begin"/>
        </w:r>
        <w:r w:rsidRPr="00EC14DC">
          <w:rPr>
            <w:b/>
            <w:sz w:val="17"/>
            <w:szCs w:val="17"/>
          </w:rPr>
          <w:instrText xml:space="preserve"> PAGE   \* MERGEFORMAT </w:instrText>
        </w:r>
        <w:r w:rsidRPr="00EC14DC">
          <w:rPr>
            <w:b/>
            <w:sz w:val="17"/>
            <w:szCs w:val="17"/>
          </w:rPr>
          <w:fldChar w:fldCharType="separate"/>
        </w:r>
        <w:r w:rsidR="00E33A21">
          <w:rPr>
            <w:b/>
            <w:noProof/>
            <w:sz w:val="17"/>
            <w:szCs w:val="17"/>
          </w:rPr>
          <w:t>19</w:t>
        </w:r>
        <w:r w:rsidRPr="00EC14DC">
          <w:rPr>
            <w:b/>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D0972" w14:textId="77777777" w:rsidR="00803322" w:rsidRDefault="00803322">
      <w:r>
        <w:separator/>
      </w:r>
    </w:p>
  </w:footnote>
  <w:footnote w:type="continuationSeparator" w:id="0">
    <w:p w14:paraId="66EA27B3" w14:textId="77777777" w:rsidR="00803322" w:rsidRDefault="00803322">
      <w:r>
        <w:continuationSeparator/>
      </w:r>
    </w:p>
  </w:footnote>
  <w:footnote w:id="1">
    <w:p w14:paraId="393FCF4B" w14:textId="3C143DD0" w:rsidR="00917243" w:rsidRPr="006D7AD8" w:rsidRDefault="00917243" w:rsidP="00F93469">
      <w:pPr>
        <w:pStyle w:val="Footnote"/>
      </w:pPr>
      <w:r>
        <w:rPr>
          <w:rStyle w:val="FootnoteReference"/>
        </w:rPr>
        <w:footnoteRef/>
      </w:r>
      <w:r>
        <w:t xml:space="preserve"> The </w:t>
      </w:r>
      <w:r w:rsidRPr="006D7AD8">
        <w:t xml:space="preserve">UNFPA </w:t>
      </w:r>
      <w:r>
        <w:t>e</w:t>
      </w:r>
      <w:r w:rsidRPr="006D7AD8">
        <w:t xml:space="preserve">valuation </w:t>
      </w:r>
      <w:r>
        <w:t>p</w:t>
      </w:r>
      <w:r w:rsidRPr="006D7AD8">
        <w:t>olicy (DP/FPA/2013/5)</w:t>
      </w:r>
      <w:r>
        <w:t xml:space="preserve"> stipulates:</w:t>
      </w:r>
      <w:r w:rsidRPr="006D7AD8">
        <w:t xml:space="preserve"> “UNFPA will review the evaluation policy at regular intervals and revise it as needed. As part of the revision process, UNFPA may request, in 2016, a peer review of its evaluation system</w:t>
      </w:r>
      <w:r>
        <w:t>.”</w:t>
      </w:r>
    </w:p>
  </w:footnote>
  <w:footnote w:id="2">
    <w:p w14:paraId="60005480" w14:textId="490D7F03" w:rsidR="00917243" w:rsidRPr="003806F5" w:rsidRDefault="00917243" w:rsidP="00F93469">
      <w:pPr>
        <w:pStyle w:val="Footnote"/>
      </w:pPr>
      <w:r>
        <w:rPr>
          <w:rStyle w:val="FootnoteReference"/>
        </w:rPr>
        <w:footnoteRef/>
      </w:r>
      <w:r>
        <w:t xml:space="preserve"> </w:t>
      </w:r>
      <w:r w:rsidRPr="003806F5">
        <w:t xml:space="preserve">The evaluation strategy 2018-2021 is available </w:t>
      </w:r>
      <w:r>
        <w:t>on</w:t>
      </w:r>
      <w:r w:rsidRPr="003806F5">
        <w:t xml:space="preserve"> the </w:t>
      </w:r>
      <w:r>
        <w:t>Evaluation Office</w:t>
      </w:r>
      <w:r w:rsidRPr="003806F5">
        <w:t xml:space="preserve"> website</w:t>
      </w:r>
      <w:r>
        <w:t>.</w:t>
      </w:r>
    </w:p>
  </w:footnote>
  <w:footnote w:id="3">
    <w:p w14:paraId="12353AA7" w14:textId="332D7711" w:rsidR="00917243" w:rsidRPr="00CF5322" w:rsidRDefault="00917243" w:rsidP="00CF5322">
      <w:pPr>
        <w:pStyle w:val="FootnoteText"/>
        <w:ind w:left="1260"/>
        <w:rPr>
          <w:sz w:val="16"/>
          <w:szCs w:val="16"/>
          <w:lang w:val="en-US"/>
        </w:rPr>
      </w:pPr>
      <w:r w:rsidRPr="00CF5322">
        <w:rPr>
          <w:rStyle w:val="FootnoteReference"/>
          <w:sz w:val="16"/>
          <w:szCs w:val="16"/>
        </w:rPr>
        <w:footnoteRef/>
      </w:r>
      <w:r w:rsidRPr="00CF5322">
        <w:rPr>
          <w:sz w:val="16"/>
          <w:szCs w:val="16"/>
        </w:rPr>
        <w:t xml:space="preserve"> </w:t>
      </w:r>
      <w:r w:rsidRPr="00CF5322">
        <w:rPr>
          <w:sz w:val="16"/>
          <w:szCs w:val="16"/>
          <w:lang w:val="en-US"/>
        </w:rPr>
        <w:t xml:space="preserve">The full report of </w:t>
      </w:r>
      <w:r>
        <w:rPr>
          <w:sz w:val="16"/>
          <w:szCs w:val="16"/>
          <w:lang w:val="en-US"/>
        </w:rPr>
        <w:t>the</w:t>
      </w:r>
      <w:r w:rsidRPr="00CF5322">
        <w:rPr>
          <w:sz w:val="16"/>
          <w:szCs w:val="16"/>
          <w:lang w:val="en-US"/>
        </w:rPr>
        <w:t xml:space="preserve"> </w:t>
      </w:r>
      <w:r>
        <w:rPr>
          <w:sz w:val="16"/>
          <w:szCs w:val="16"/>
          <w:lang w:val="en-US"/>
        </w:rPr>
        <w:t>i</w:t>
      </w:r>
      <w:r w:rsidRPr="00CF5322">
        <w:rPr>
          <w:sz w:val="16"/>
          <w:szCs w:val="16"/>
          <w:lang w:val="en-US"/>
        </w:rPr>
        <w:t>ndependent external review of UNFPA evaluation function is available in the Evaluation Office website</w:t>
      </w:r>
      <w:r>
        <w:rPr>
          <w:sz w:val="16"/>
          <w:szCs w:val="16"/>
          <w:lang w:val="en-US"/>
        </w:rPr>
        <w:t>.</w:t>
      </w:r>
    </w:p>
  </w:footnote>
  <w:footnote w:id="4">
    <w:p w14:paraId="41DF1780" w14:textId="723D9D1E" w:rsidR="00917243" w:rsidRPr="00CB4B45" w:rsidRDefault="00917243" w:rsidP="00CB4B45">
      <w:pPr>
        <w:pStyle w:val="FootnoteText"/>
        <w:ind w:left="1260"/>
        <w:rPr>
          <w:sz w:val="16"/>
          <w:szCs w:val="16"/>
          <w:lang w:val="en-US"/>
        </w:rPr>
      </w:pPr>
      <w:r w:rsidRPr="00CB4B45">
        <w:rPr>
          <w:rStyle w:val="FootnoteReference"/>
          <w:sz w:val="16"/>
          <w:szCs w:val="16"/>
        </w:rPr>
        <w:footnoteRef/>
      </w:r>
      <w:r w:rsidRPr="00CB4B45">
        <w:rPr>
          <w:sz w:val="16"/>
          <w:szCs w:val="16"/>
        </w:rPr>
        <w:t xml:space="preserve"> </w:t>
      </w:r>
      <w:r w:rsidRPr="00CB4B45">
        <w:rPr>
          <w:sz w:val="16"/>
          <w:szCs w:val="16"/>
          <w:lang w:val="en-US"/>
        </w:rPr>
        <w:t xml:space="preserve">The full </w:t>
      </w:r>
      <w:r>
        <w:rPr>
          <w:sz w:val="16"/>
          <w:szCs w:val="16"/>
          <w:lang w:val="en-US"/>
        </w:rPr>
        <w:t>management response to</w:t>
      </w:r>
      <w:r w:rsidRPr="00CB4B45">
        <w:rPr>
          <w:sz w:val="16"/>
          <w:szCs w:val="16"/>
          <w:lang w:val="en-US"/>
        </w:rPr>
        <w:t xml:space="preserve"> the </w:t>
      </w:r>
      <w:r>
        <w:rPr>
          <w:sz w:val="16"/>
          <w:szCs w:val="16"/>
          <w:lang w:val="en-US"/>
        </w:rPr>
        <w:t>i</w:t>
      </w:r>
      <w:r w:rsidRPr="00CB4B45">
        <w:rPr>
          <w:sz w:val="16"/>
          <w:szCs w:val="16"/>
          <w:lang w:val="en-US"/>
        </w:rPr>
        <w:t>ndependent external review of UNFPA evaluation function is available in the Evaluation Office website</w:t>
      </w:r>
      <w:r>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Ind w:w="18" w:type="dxa"/>
      <w:tblBorders>
        <w:bottom w:val="single" w:sz="4" w:space="0" w:color="auto"/>
      </w:tblBorders>
      <w:tblLook w:val="0000" w:firstRow="0" w:lastRow="0" w:firstColumn="0" w:lastColumn="0" w:noHBand="0" w:noVBand="0"/>
    </w:tblPr>
    <w:tblGrid>
      <w:gridCol w:w="4662"/>
      <w:gridCol w:w="4878"/>
    </w:tblGrid>
    <w:tr w:rsidR="00917243" w14:paraId="1F97B4BA" w14:textId="77777777" w:rsidTr="001926E4">
      <w:trPr>
        <w:trHeight w:val="20"/>
      </w:trPr>
      <w:tc>
        <w:tcPr>
          <w:tcW w:w="4662" w:type="dxa"/>
          <w:vAlign w:val="bottom"/>
        </w:tcPr>
        <w:p w14:paraId="14836D3C" w14:textId="5B0887BB" w:rsidR="00917243" w:rsidRPr="00DB444A" w:rsidRDefault="00917243" w:rsidP="007B2068">
          <w:pPr>
            <w:pStyle w:val="Header"/>
            <w:tabs>
              <w:tab w:val="clear" w:pos="4320"/>
              <w:tab w:val="clear" w:pos="8640"/>
              <w:tab w:val="left" w:pos="720"/>
            </w:tabs>
            <w:rPr>
              <w:rStyle w:val="PageNumber"/>
              <w:b/>
              <w:sz w:val="17"/>
              <w:szCs w:val="17"/>
            </w:rPr>
          </w:pPr>
          <w:r w:rsidRPr="00DB444A">
            <w:rPr>
              <w:rStyle w:val="PageNumber"/>
              <w:b/>
              <w:sz w:val="17"/>
              <w:szCs w:val="17"/>
            </w:rPr>
            <w:t>DP/FPA/201</w:t>
          </w:r>
          <w:r>
            <w:rPr>
              <w:rStyle w:val="PageNumber"/>
              <w:b/>
              <w:sz w:val="17"/>
              <w:szCs w:val="17"/>
            </w:rPr>
            <w:t>8</w:t>
          </w:r>
          <w:r w:rsidRPr="00DB444A">
            <w:rPr>
              <w:rStyle w:val="PageNumber"/>
              <w:b/>
              <w:sz w:val="17"/>
              <w:szCs w:val="17"/>
            </w:rPr>
            <w:t>/</w:t>
          </w:r>
          <w:r>
            <w:rPr>
              <w:rStyle w:val="PageNumber"/>
              <w:b/>
              <w:sz w:val="17"/>
              <w:szCs w:val="17"/>
            </w:rPr>
            <w:t>5</w:t>
          </w:r>
        </w:p>
      </w:tc>
      <w:tc>
        <w:tcPr>
          <w:tcW w:w="4878" w:type="dxa"/>
        </w:tcPr>
        <w:p w14:paraId="1102482E" w14:textId="77777777" w:rsidR="00917243" w:rsidRDefault="00917243" w:rsidP="002137D2">
          <w:pPr>
            <w:pStyle w:val="Header"/>
            <w:tabs>
              <w:tab w:val="clear" w:pos="4320"/>
              <w:tab w:val="clear" w:pos="8640"/>
              <w:tab w:val="left" w:pos="720"/>
            </w:tabs>
            <w:spacing w:line="360" w:lineRule="auto"/>
            <w:rPr>
              <w:rStyle w:val="PageNumber"/>
            </w:rPr>
          </w:pPr>
        </w:p>
      </w:tc>
    </w:tr>
  </w:tbl>
  <w:p w14:paraId="313D8D84" w14:textId="6029AD2B" w:rsidR="00917243" w:rsidRPr="00F401CE" w:rsidRDefault="00917243" w:rsidP="00F401CE">
    <w:pPr>
      <w:pStyle w:val="Header"/>
      <w:tabs>
        <w:tab w:val="clear" w:pos="4320"/>
        <w:tab w:val="clear" w:pos="8640"/>
        <w:tab w:val="left" w:pos="720"/>
      </w:tabs>
      <w:rPr>
        <w:bCs/>
        <w:sz w:val="18"/>
        <w:szCs w:val="18"/>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Ind w:w="18" w:type="dxa"/>
      <w:tblBorders>
        <w:bottom w:val="single" w:sz="4" w:space="0" w:color="auto"/>
      </w:tblBorders>
      <w:tblLook w:val="0000" w:firstRow="0" w:lastRow="0" w:firstColumn="0" w:lastColumn="0" w:noHBand="0" w:noVBand="0"/>
    </w:tblPr>
    <w:tblGrid>
      <w:gridCol w:w="4662"/>
      <w:gridCol w:w="4878"/>
    </w:tblGrid>
    <w:tr w:rsidR="00917243" w14:paraId="3153681C" w14:textId="77777777" w:rsidTr="001926E4">
      <w:trPr>
        <w:trHeight w:val="20"/>
      </w:trPr>
      <w:tc>
        <w:tcPr>
          <w:tcW w:w="4662" w:type="dxa"/>
        </w:tcPr>
        <w:p w14:paraId="197E24C2" w14:textId="77777777" w:rsidR="00917243" w:rsidRDefault="00917243">
          <w:pPr>
            <w:pStyle w:val="Header"/>
            <w:tabs>
              <w:tab w:val="clear" w:pos="4320"/>
              <w:tab w:val="clear" w:pos="8640"/>
              <w:tab w:val="left" w:pos="864"/>
            </w:tabs>
            <w:spacing w:line="360" w:lineRule="auto"/>
            <w:rPr>
              <w:rStyle w:val="PageNumber"/>
            </w:rPr>
          </w:pPr>
        </w:p>
      </w:tc>
      <w:tc>
        <w:tcPr>
          <w:tcW w:w="4878" w:type="dxa"/>
          <w:vAlign w:val="bottom"/>
        </w:tcPr>
        <w:p w14:paraId="1754F54E" w14:textId="7694767A" w:rsidR="00917243" w:rsidRPr="007D584E" w:rsidRDefault="00917243" w:rsidP="007B2068">
          <w:pPr>
            <w:pStyle w:val="Header"/>
            <w:tabs>
              <w:tab w:val="clear" w:pos="4320"/>
              <w:tab w:val="clear" w:pos="8640"/>
              <w:tab w:val="left" w:pos="864"/>
            </w:tabs>
            <w:jc w:val="right"/>
            <w:rPr>
              <w:rStyle w:val="PageNumber"/>
              <w:b/>
              <w:sz w:val="17"/>
              <w:szCs w:val="17"/>
            </w:rPr>
          </w:pPr>
          <w:r w:rsidRPr="007D584E">
            <w:rPr>
              <w:rStyle w:val="PageNumber"/>
              <w:b/>
              <w:sz w:val="17"/>
              <w:szCs w:val="17"/>
            </w:rPr>
            <w:t>DP/FPA/201</w:t>
          </w:r>
          <w:r>
            <w:rPr>
              <w:rStyle w:val="PageNumber"/>
              <w:b/>
              <w:sz w:val="17"/>
              <w:szCs w:val="17"/>
            </w:rPr>
            <w:t>8</w:t>
          </w:r>
          <w:r w:rsidRPr="007D584E">
            <w:rPr>
              <w:rStyle w:val="PageNumber"/>
              <w:b/>
              <w:sz w:val="17"/>
              <w:szCs w:val="17"/>
            </w:rPr>
            <w:t>/</w:t>
          </w:r>
          <w:r>
            <w:rPr>
              <w:rStyle w:val="PageNumber"/>
              <w:b/>
              <w:sz w:val="17"/>
              <w:szCs w:val="17"/>
            </w:rPr>
            <w:t>5</w:t>
          </w:r>
        </w:p>
      </w:tc>
    </w:tr>
  </w:tbl>
  <w:p w14:paraId="5C1E7C95" w14:textId="77777777" w:rsidR="00917243" w:rsidRPr="00F401CE" w:rsidRDefault="00917243" w:rsidP="00F401CE">
    <w:pPr>
      <w:pStyle w:val="Header"/>
      <w:tabs>
        <w:tab w:val="clear" w:pos="4320"/>
        <w:tab w:val="clear" w:pos="8640"/>
        <w:tab w:val="left" w:pos="864"/>
      </w:tabs>
      <w:rPr>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7"/>
      <w:gridCol w:w="1872"/>
      <w:gridCol w:w="245"/>
      <w:gridCol w:w="3366"/>
      <w:gridCol w:w="900"/>
      <w:gridCol w:w="1800"/>
    </w:tblGrid>
    <w:tr w:rsidR="00917243" w:rsidRPr="00A25A6B" w14:paraId="6A76B34B" w14:textId="77777777" w:rsidTr="00ED427E">
      <w:trPr>
        <w:trHeight w:hRule="exact" w:val="432"/>
      </w:trPr>
      <w:tc>
        <w:tcPr>
          <w:tcW w:w="1357" w:type="dxa"/>
          <w:tcBorders>
            <w:top w:val="nil"/>
            <w:left w:val="nil"/>
            <w:bottom w:val="nil"/>
            <w:right w:val="nil"/>
          </w:tcBorders>
          <w:vAlign w:val="bottom"/>
        </w:tcPr>
        <w:p w14:paraId="32693328" w14:textId="77777777" w:rsidR="00917243" w:rsidRPr="00A25A6B" w:rsidRDefault="00917243" w:rsidP="004D44D3">
          <w:pPr>
            <w:tabs>
              <w:tab w:val="center" w:pos="4513"/>
              <w:tab w:val="right" w:pos="9026"/>
            </w:tabs>
            <w:spacing w:after="120"/>
          </w:pPr>
        </w:p>
      </w:tc>
      <w:tc>
        <w:tcPr>
          <w:tcW w:w="1872" w:type="dxa"/>
          <w:tcBorders>
            <w:top w:val="nil"/>
            <w:left w:val="nil"/>
            <w:bottom w:val="nil"/>
            <w:right w:val="nil"/>
          </w:tcBorders>
          <w:vAlign w:val="bottom"/>
        </w:tcPr>
        <w:p w14:paraId="08DC606C" w14:textId="77777777" w:rsidR="00917243" w:rsidRPr="00A25A6B" w:rsidRDefault="00917243" w:rsidP="004D44D3">
          <w:pPr>
            <w:keepNext/>
            <w:keepLines/>
            <w:suppressAutoHyphens/>
            <w:spacing w:after="80" w:line="300" w:lineRule="exact"/>
            <w:outlineLvl w:val="0"/>
            <w:rPr>
              <w:spacing w:val="2"/>
              <w:w w:val="96"/>
              <w:kern w:val="14"/>
              <w:sz w:val="28"/>
            </w:rPr>
          </w:pPr>
          <w:r w:rsidRPr="00A25A6B">
            <w:rPr>
              <w:spacing w:val="2"/>
              <w:w w:val="96"/>
              <w:kern w:val="14"/>
              <w:sz w:val="28"/>
            </w:rPr>
            <w:t>United Nations</w:t>
          </w:r>
        </w:p>
      </w:tc>
      <w:tc>
        <w:tcPr>
          <w:tcW w:w="245" w:type="dxa"/>
          <w:tcBorders>
            <w:top w:val="nil"/>
            <w:left w:val="nil"/>
            <w:bottom w:val="nil"/>
            <w:right w:val="nil"/>
          </w:tcBorders>
          <w:vAlign w:val="bottom"/>
        </w:tcPr>
        <w:p w14:paraId="096BCF60" w14:textId="77777777" w:rsidR="00917243" w:rsidRPr="00A25A6B" w:rsidRDefault="00917243" w:rsidP="004D44D3">
          <w:pPr>
            <w:tabs>
              <w:tab w:val="center" w:pos="4513"/>
              <w:tab w:val="right" w:pos="9026"/>
            </w:tabs>
            <w:spacing w:after="120"/>
          </w:pPr>
        </w:p>
      </w:tc>
      <w:tc>
        <w:tcPr>
          <w:tcW w:w="6066" w:type="dxa"/>
          <w:gridSpan w:val="3"/>
          <w:tcBorders>
            <w:top w:val="nil"/>
            <w:left w:val="nil"/>
            <w:bottom w:val="nil"/>
            <w:right w:val="nil"/>
          </w:tcBorders>
          <w:vAlign w:val="bottom"/>
        </w:tcPr>
        <w:p w14:paraId="07FF5BF0" w14:textId="547C3087" w:rsidR="00917243" w:rsidRPr="00A25A6B" w:rsidRDefault="00917243" w:rsidP="00843D94">
          <w:pPr>
            <w:spacing w:after="80"/>
            <w:ind w:right="90"/>
            <w:jc w:val="right"/>
            <w:rPr>
              <w:b/>
              <w:position w:val="-4"/>
            </w:rPr>
          </w:pPr>
          <w:r w:rsidRPr="00A25A6B">
            <w:rPr>
              <w:b/>
              <w:bCs/>
              <w:position w:val="-4"/>
            </w:rPr>
            <w:t>DP</w:t>
          </w:r>
          <w:r w:rsidRPr="00A25A6B">
            <w:rPr>
              <w:b/>
              <w:position w:val="-4"/>
            </w:rPr>
            <w:t>/</w:t>
          </w:r>
          <w:r w:rsidRPr="00A25A6B">
            <w:rPr>
              <w:b/>
              <w:bCs/>
              <w:position w:val="-4"/>
            </w:rPr>
            <w:t>FPA</w:t>
          </w:r>
          <w:r>
            <w:rPr>
              <w:b/>
              <w:position w:val="-4"/>
            </w:rPr>
            <w:t>/</w:t>
          </w:r>
          <w:r w:rsidRPr="00843D94">
            <w:rPr>
              <w:b/>
              <w:position w:val="-4"/>
            </w:rPr>
            <w:t>2018</w:t>
          </w:r>
          <w:r>
            <w:rPr>
              <w:b/>
              <w:position w:val="-4"/>
            </w:rPr>
            <w:t>/5</w:t>
          </w:r>
        </w:p>
      </w:tc>
    </w:tr>
    <w:tr w:rsidR="00917243" w:rsidRPr="00A25A6B" w14:paraId="1A9EAB87" w14:textId="77777777" w:rsidTr="00ED427E">
      <w:trPr>
        <w:trHeight w:hRule="exact" w:val="2008"/>
      </w:trPr>
      <w:tc>
        <w:tcPr>
          <w:tcW w:w="1357" w:type="dxa"/>
          <w:tcBorders>
            <w:left w:val="nil"/>
            <w:bottom w:val="single" w:sz="12" w:space="0" w:color="auto"/>
            <w:right w:val="nil"/>
          </w:tcBorders>
        </w:tcPr>
        <w:p w14:paraId="66C92B6C" w14:textId="77777777" w:rsidR="00917243" w:rsidRPr="00A25A6B" w:rsidRDefault="00917243" w:rsidP="004D44D3">
          <w:pPr>
            <w:tabs>
              <w:tab w:val="center" w:pos="4513"/>
              <w:tab w:val="right" w:pos="9026"/>
            </w:tabs>
            <w:spacing w:before="109"/>
          </w:pPr>
          <w:r w:rsidRPr="00A25A6B">
            <w:t xml:space="preserve"> </w:t>
          </w:r>
          <w:r w:rsidRPr="00A25A6B">
            <w:rPr>
              <w:noProof/>
              <w:lang w:eastAsia="en-GB"/>
            </w:rPr>
            <w:drawing>
              <wp:inline distT="0" distB="0" distL="0" distR="0" wp14:anchorId="3AB4B6DA" wp14:editId="41D78A9C">
                <wp:extent cx="708025" cy="624590"/>
                <wp:effectExtent l="0" t="0" r="0" b="4445"/>
                <wp:docPr id="9" name="Picture 9"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_u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9435" cy="625834"/>
                        </a:xfrm>
                        <a:prstGeom prst="rect">
                          <a:avLst/>
                        </a:prstGeom>
                        <a:noFill/>
                        <a:ln>
                          <a:noFill/>
                        </a:ln>
                      </pic:spPr>
                    </pic:pic>
                  </a:graphicData>
                </a:graphic>
              </wp:inline>
            </w:drawing>
          </w:r>
        </w:p>
        <w:p w14:paraId="4E93ACA5" w14:textId="77777777" w:rsidR="00917243" w:rsidRPr="00A25A6B" w:rsidRDefault="00917243" w:rsidP="004D44D3">
          <w:pPr>
            <w:tabs>
              <w:tab w:val="center" w:pos="4513"/>
              <w:tab w:val="right" w:pos="9026"/>
            </w:tabs>
            <w:spacing w:before="109"/>
          </w:pPr>
        </w:p>
      </w:tc>
      <w:tc>
        <w:tcPr>
          <w:tcW w:w="5483" w:type="dxa"/>
          <w:gridSpan w:val="3"/>
          <w:tcBorders>
            <w:left w:val="nil"/>
            <w:bottom w:val="single" w:sz="12" w:space="0" w:color="auto"/>
            <w:right w:val="nil"/>
          </w:tcBorders>
        </w:tcPr>
        <w:p w14:paraId="12530AB0" w14:textId="77777777" w:rsidR="00917243" w:rsidRPr="00A25A6B" w:rsidRDefault="00917243" w:rsidP="004D44D3">
          <w:pPr>
            <w:keepNext/>
            <w:keepLines/>
            <w:tabs>
              <w:tab w:val="right" w:leader="dot" w:pos="360"/>
            </w:tabs>
            <w:suppressAutoHyphens/>
            <w:spacing w:before="109" w:line="330" w:lineRule="exact"/>
            <w:outlineLvl w:val="0"/>
            <w:rPr>
              <w:b/>
              <w:spacing w:val="-4"/>
              <w:w w:val="98"/>
              <w:kern w:val="14"/>
              <w:sz w:val="34"/>
            </w:rPr>
          </w:pPr>
          <w:r w:rsidRPr="00A25A6B">
            <w:rPr>
              <w:b/>
              <w:spacing w:val="-4"/>
              <w:w w:val="98"/>
              <w:kern w:val="14"/>
              <w:sz w:val="34"/>
            </w:rPr>
            <w:t xml:space="preserve">Executive Board of the </w:t>
          </w:r>
          <w:r w:rsidRPr="00A25A6B">
            <w:rPr>
              <w:b/>
              <w:spacing w:val="-4"/>
              <w:w w:val="98"/>
              <w:kern w:val="14"/>
              <w:sz w:val="34"/>
            </w:rPr>
            <w:br/>
            <w:t>United Nations Development</w:t>
          </w:r>
          <w:r w:rsidRPr="00A25A6B">
            <w:rPr>
              <w:b/>
              <w:spacing w:val="-4"/>
              <w:w w:val="98"/>
              <w:kern w:val="14"/>
              <w:sz w:val="34"/>
            </w:rPr>
            <w:br/>
            <w:t>Programme, the United Nations Population Fund and the United Nations Office for Project Services</w:t>
          </w:r>
        </w:p>
      </w:tc>
      <w:tc>
        <w:tcPr>
          <w:tcW w:w="900" w:type="dxa"/>
          <w:tcBorders>
            <w:left w:val="nil"/>
            <w:bottom w:val="single" w:sz="12" w:space="0" w:color="auto"/>
            <w:right w:val="nil"/>
          </w:tcBorders>
        </w:tcPr>
        <w:p w14:paraId="16CDC620" w14:textId="77777777" w:rsidR="00917243" w:rsidRPr="00A25A6B" w:rsidRDefault="00917243" w:rsidP="004D44D3">
          <w:pPr>
            <w:tabs>
              <w:tab w:val="center" w:pos="4513"/>
              <w:tab w:val="right" w:pos="9026"/>
            </w:tabs>
            <w:spacing w:before="109"/>
          </w:pPr>
        </w:p>
      </w:tc>
      <w:tc>
        <w:tcPr>
          <w:tcW w:w="1800" w:type="dxa"/>
          <w:tcBorders>
            <w:left w:val="nil"/>
            <w:bottom w:val="single" w:sz="12" w:space="0" w:color="auto"/>
            <w:right w:val="nil"/>
          </w:tcBorders>
        </w:tcPr>
        <w:p w14:paraId="17B37CB9" w14:textId="1C04D922" w:rsidR="00917243" w:rsidRDefault="00917243" w:rsidP="008C70C5">
          <w:pPr>
            <w:spacing w:before="240"/>
            <w:rPr>
              <w:lang w:val="es-ES_tradnl"/>
            </w:rPr>
          </w:pPr>
          <w:r w:rsidRPr="00A25A6B">
            <w:rPr>
              <w:lang w:val="es-ES_tradnl"/>
            </w:rPr>
            <w:t>Distr.: General</w:t>
          </w:r>
        </w:p>
        <w:p w14:paraId="36603BD0" w14:textId="6A6F3291" w:rsidR="00917243" w:rsidRPr="00843D94" w:rsidRDefault="00917243" w:rsidP="008C70C5">
          <w:pPr>
            <w:spacing w:after="240"/>
          </w:pPr>
          <w:r>
            <w:t>4</w:t>
          </w:r>
          <w:r w:rsidRPr="00843D94">
            <w:t xml:space="preserve"> </w:t>
          </w:r>
          <w:r>
            <w:t>April</w:t>
          </w:r>
          <w:r w:rsidRPr="00843D94">
            <w:t xml:space="preserve"> 2018</w:t>
          </w:r>
        </w:p>
        <w:p w14:paraId="5BC473E3" w14:textId="77777777" w:rsidR="00917243" w:rsidRPr="00A25A6B" w:rsidRDefault="00917243" w:rsidP="004D44D3">
          <w:r w:rsidRPr="00A25A6B">
            <w:t>Original: English</w:t>
          </w:r>
        </w:p>
      </w:tc>
    </w:tr>
  </w:tbl>
  <w:p w14:paraId="54270846" w14:textId="77777777" w:rsidR="00917243" w:rsidRDefault="00917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7305472"/>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42DEB690"/>
    <w:lvl w:ilvl="0">
      <w:start w:val="1"/>
      <w:numFmt w:val="decimal"/>
      <w:pStyle w:val="ListNumber"/>
      <w:lvlText w:val="%1."/>
      <w:lvlJc w:val="left"/>
      <w:pPr>
        <w:tabs>
          <w:tab w:val="num" w:pos="360"/>
        </w:tabs>
        <w:ind w:left="360" w:hanging="360"/>
      </w:pPr>
    </w:lvl>
  </w:abstractNum>
  <w:abstractNum w:abstractNumId="2" w15:restartNumberingAfterBreak="0">
    <w:nsid w:val="06DA00F8"/>
    <w:multiLevelType w:val="hybridMultilevel"/>
    <w:tmpl w:val="BBBCAD20"/>
    <w:lvl w:ilvl="0" w:tplc="6054F7D8">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D14E8"/>
    <w:multiLevelType w:val="hybridMultilevel"/>
    <w:tmpl w:val="DF30B178"/>
    <w:lvl w:ilvl="0" w:tplc="B520155E">
      <w:start w:val="1"/>
      <w:numFmt w:val="lowerLetter"/>
      <w:pStyle w:val="NUMapara"/>
      <w:lvlText w:val="(%1)"/>
      <w:lvlJc w:val="left"/>
      <w:pPr>
        <w:ind w:left="1800" w:hanging="360"/>
      </w:pPr>
      <w:rPr>
        <w:rFonts w:hint="default"/>
      </w:rPr>
    </w:lvl>
    <w:lvl w:ilvl="1" w:tplc="9384BD1A">
      <w:start w:val="1"/>
      <w:numFmt w:val="lowerRoman"/>
      <w:pStyle w:val="NUMipara"/>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E42F11"/>
    <w:multiLevelType w:val="hybridMultilevel"/>
    <w:tmpl w:val="9BA6976A"/>
    <w:lvl w:ilvl="0" w:tplc="04090013">
      <w:start w:val="1"/>
      <w:numFmt w:val="upperRoman"/>
      <w:lvlText w:val="%1."/>
      <w:lvlJc w:val="right"/>
      <w:pPr>
        <w:ind w:left="1501" w:hanging="360"/>
      </w:pPr>
    </w:lvl>
    <w:lvl w:ilvl="1" w:tplc="04090019">
      <w:start w:val="1"/>
      <w:numFmt w:val="lowerLetter"/>
      <w:lvlText w:val="%2."/>
      <w:lvlJc w:val="left"/>
      <w:pPr>
        <w:ind w:left="2221" w:hanging="360"/>
      </w:pPr>
    </w:lvl>
    <w:lvl w:ilvl="2" w:tplc="66D4334E">
      <w:start w:val="2017"/>
      <w:numFmt w:val="decimal"/>
      <w:lvlText w:val="%3"/>
      <w:lvlJc w:val="left"/>
      <w:pPr>
        <w:ind w:left="3201" w:hanging="440"/>
      </w:pPr>
      <w:rPr>
        <w:rFonts w:hint="default"/>
      </w:r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5" w15:restartNumberingAfterBreak="0">
    <w:nsid w:val="23954952"/>
    <w:multiLevelType w:val="hybridMultilevel"/>
    <w:tmpl w:val="3E00022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D7C22"/>
    <w:multiLevelType w:val="hybridMultilevel"/>
    <w:tmpl w:val="105CEC12"/>
    <w:lvl w:ilvl="0" w:tplc="F00A49F8">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7263D"/>
    <w:multiLevelType w:val="hybridMultilevel"/>
    <w:tmpl w:val="CAA263D0"/>
    <w:lvl w:ilvl="0" w:tplc="8C88BE42">
      <w:start w:val="3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DA510D"/>
    <w:multiLevelType w:val="hybridMultilevel"/>
    <w:tmpl w:val="410A794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0826E3"/>
    <w:multiLevelType w:val="hybridMultilevel"/>
    <w:tmpl w:val="ABFA08C6"/>
    <w:lvl w:ilvl="0" w:tplc="D0CE047E">
      <w:start w:val="1"/>
      <w:numFmt w:val="upperRoman"/>
      <w:pStyle w:val="Heading11"/>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8C0536F"/>
    <w:multiLevelType w:val="singleLevel"/>
    <w:tmpl w:val="1F708ACC"/>
    <w:lvl w:ilvl="0">
      <w:start w:val="1"/>
      <w:numFmt w:val="upperLetter"/>
      <w:pStyle w:val="Heading5"/>
      <w:lvlText w:val="%1."/>
      <w:lvlJc w:val="left"/>
      <w:pPr>
        <w:tabs>
          <w:tab w:val="num" w:pos="360"/>
        </w:tabs>
        <w:ind w:left="360" w:hanging="360"/>
      </w:pPr>
      <w:rPr>
        <w:rFonts w:hint="default"/>
      </w:rPr>
    </w:lvl>
  </w:abstractNum>
  <w:abstractNum w:abstractNumId="11" w15:restartNumberingAfterBreak="0">
    <w:nsid w:val="39936BAF"/>
    <w:multiLevelType w:val="hybridMultilevel"/>
    <w:tmpl w:val="410A79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1A0F16"/>
    <w:multiLevelType w:val="hybridMultilevel"/>
    <w:tmpl w:val="70804C46"/>
    <w:lvl w:ilvl="0" w:tplc="9A2ACE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26091D"/>
    <w:multiLevelType w:val="hybridMultilevel"/>
    <w:tmpl w:val="ACBAF5EE"/>
    <w:lvl w:ilvl="0" w:tplc="08090017">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4841B6"/>
    <w:multiLevelType w:val="hybridMultilevel"/>
    <w:tmpl w:val="49ACAC0E"/>
    <w:lvl w:ilvl="0" w:tplc="61FA356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A6CBE"/>
    <w:multiLevelType w:val="hybridMultilevel"/>
    <w:tmpl w:val="9CD2CEFA"/>
    <w:lvl w:ilvl="0" w:tplc="EF2CEFAE">
      <w:start w:val="1"/>
      <w:numFmt w:val="upperLetter"/>
      <w:pStyle w:val="Heading21"/>
      <w:lvlText w:val="%1."/>
      <w:lvlJc w:val="left"/>
      <w:pPr>
        <w:ind w:left="1272" w:hanging="552"/>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6810C13"/>
    <w:multiLevelType w:val="hybridMultilevel"/>
    <w:tmpl w:val="9476133E"/>
    <w:lvl w:ilvl="0" w:tplc="1AE87900">
      <w:start w:val="45"/>
      <w:numFmt w:val="decimal"/>
      <w:lvlText w:val="%1."/>
      <w:lvlJc w:val="left"/>
      <w:pPr>
        <w:ind w:left="108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0"/>
  </w:num>
  <w:num w:numId="2">
    <w:abstractNumId w:val="16"/>
  </w:num>
  <w:num w:numId="3">
    <w:abstractNumId w:val="9"/>
  </w:num>
  <w:num w:numId="4">
    <w:abstractNumId w:val="12"/>
  </w:num>
  <w:num w:numId="5">
    <w:abstractNumId w:val="13"/>
  </w:num>
  <w:num w:numId="6">
    <w:abstractNumId w:val="7"/>
  </w:num>
  <w:num w:numId="7">
    <w:abstractNumId w:val="3"/>
  </w:num>
  <w:num w:numId="8">
    <w:abstractNumId w:val="6"/>
  </w:num>
  <w:num w:numId="9">
    <w:abstractNumId w:val="2"/>
  </w:num>
  <w:num w:numId="10">
    <w:abstractNumId w:val="1"/>
  </w:num>
  <w:num w:numId="11">
    <w:abstractNumId w:val="0"/>
  </w:num>
  <w:num w:numId="12">
    <w:abstractNumId w:val="3"/>
    <w:lvlOverride w:ilvl="0">
      <w:startOverride w:val="1"/>
    </w:lvlOverride>
  </w:num>
  <w:num w:numId="13">
    <w:abstractNumId w:val="15"/>
  </w:num>
  <w:num w:numId="14">
    <w:abstractNumId w:val="4"/>
  </w:num>
  <w:num w:numId="15">
    <w:abstractNumId w:val="5"/>
  </w:num>
  <w:num w:numId="16">
    <w:abstractNumId w:val="1"/>
    <w:lvlOverride w:ilvl="0">
      <w:startOverride w:val="1"/>
    </w:lvlOverride>
  </w:num>
  <w:num w:numId="17">
    <w:abstractNumId w:val="8"/>
  </w:num>
  <w:num w:numId="18">
    <w:abstractNumId w:val="11"/>
  </w:num>
  <w:num w:numId="19">
    <w:abstractNumId w:val="15"/>
    <w:lvlOverride w:ilvl="0">
      <w:startOverride w:val="1"/>
    </w:lvlOverride>
  </w:num>
  <w:num w:numId="20">
    <w:abstractNumId w:val="15"/>
    <w:lvlOverride w:ilvl="0">
      <w:startOverride w:val="1"/>
    </w:lvlOverride>
  </w:num>
  <w:num w:numId="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F7"/>
    <w:rsid w:val="000002EF"/>
    <w:rsid w:val="00000585"/>
    <w:rsid w:val="000008F5"/>
    <w:rsid w:val="00000921"/>
    <w:rsid w:val="00000D1C"/>
    <w:rsid w:val="000017E0"/>
    <w:rsid w:val="0000183F"/>
    <w:rsid w:val="00003ECD"/>
    <w:rsid w:val="000042C0"/>
    <w:rsid w:val="00004FEE"/>
    <w:rsid w:val="0000724D"/>
    <w:rsid w:val="00007C93"/>
    <w:rsid w:val="00011231"/>
    <w:rsid w:val="000116C3"/>
    <w:rsid w:val="00011940"/>
    <w:rsid w:val="0001247D"/>
    <w:rsid w:val="00012D40"/>
    <w:rsid w:val="00013181"/>
    <w:rsid w:val="00013D47"/>
    <w:rsid w:val="00014966"/>
    <w:rsid w:val="00014D9B"/>
    <w:rsid w:val="00015105"/>
    <w:rsid w:val="0001542D"/>
    <w:rsid w:val="0001593A"/>
    <w:rsid w:val="000175E4"/>
    <w:rsid w:val="00017880"/>
    <w:rsid w:val="00021BB1"/>
    <w:rsid w:val="00022CB2"/>
    <w:rsid w:val="00023C94"/>
    <w:rsid w:val="0002462E"/>
    <w:rsid w:val="00024C01"/>
    <w:rsid w:val="000260A5"/>
    <w:rsid w:val="00026E12"/>
    <w:rsid w:val="000273AD"/>
    <w:rsid w:val="0002751B"/>
    <w:rsid w:val="000301E5"/>
    <w:rsid w:val="00030DF6"/>
    <w:rsid w:val="000317A9"/>
    <w:rsid w:val="00032019"/>
    <w:rsid w:val="00032237"/>
    <w:rsid w:val="000355D0"/>
    <w:rsid w:val="0003643E"/>
    <w:rsid w:val="00036E1E"/>
    <w:rsid w:val="00037200"/>
    <w:rsid w:val="00037CBE"/>
    <w:rsid w:val="0004186F"/>
    <w:rsid w:val="00041C79"/>
    <w:rsid w:val="00041FB3"/>
    <w:rsid w:val="00043324"/>
    <w:rsid w:val="00044D17"/>
    <w:rsid w:val="00044F42"/>
    <w:rsid w:val="00046972"/>
    <w:rsid w:val="00047853"/>
    <w:rsid w:val="000478E1"/>
    <w:rsid w:val="0005076E"/>
    <w:rsid w:val="00050785"/>
    <w:rsid w:val="00050D54"/>
    <w:rsid w:val="00050E4F"/>
    <w:rsid w:val="00052057"/>
    <w:rsid w:val="00053486"/>
    <w:rsid w:val="00054EB2"/>
    <w:rsid w:val="00055479"/>
    <w:rsid w:val="00055A23"/>
    <w:rsid w:val="00055E85"/>
    <w:rsid w:val="0005669C"/>
    <w:rsid w:val="00056BAE"/>
    <w:rsid w:val="00060412"/>
    <w:rsid w:val="000607C7"/>
    <w:rsid w:val="00061304"/>
    <w:rsid w:val="000618AD"/>
    <w:rsid w:val="000625CA"/>
    <w:rsid w:val="0006277D"/>
    <w:rsid w:val="00062E80"/>
    <w:rsid w:val="000631CD"/>
    <w:rsid w:val="0006395C"/>
    <w:rsid w:val="00063A08"/>
    <w:rsid w:val="00064B46"/>
    <w:rsid w:val="00064EB3"/>
    <w:rsid w:val="00065CF2"/>
    <w:rsid w:val="000666F0"/>
    <w:rsid w:val="000702B4"/>
    <w:rsid w:val="000708EB"/>
    <w:rsid w:val="00070A8F"/>
    <w:rsid w:val="00070E94"/>
    <w:rsid w:val="000720AA"/>
    <w:rsid w:val="000727B6"/>
    <w:rsid w:val="00074D0C"/>
    <w:rsid w:val="00075529"/>
    <w:rsid w:val="000766EA"/>
    <w:rsid w:val="00077C16"/>
    <w:rsid w:val="00077DF6"/>
    <w:rsid w:val="00080D13"/>
    <w:rsid w:val="00080F76"/>
    <w:rsid w:val="0008210B"/>
    <w:rsid w:val="00082329"/>
    <w:rsid w:val="00082540"/>
    <w:rsid w:val="000830D5"/>
    <w:rsid w:val="0008325B"/>
    <w:rsid w:val="000845E1"/>
    <w:rsid w:val="0008518D"/>
    <w:rsid w:val="000858A1"/>
    <w:rsid w:val="0008626A"/>
    <w:rsid w:val="000901FE"/>
    <w:rsid w:val="000903B7"/>
    <w:rsid w:val="00090D43"/>
    <w:rsid w:val="00091D8B"/>
    <w:rsid w:val="00092970"/>
    <w:rsid w:val="000947AB"/>
    <w:rsid w:val="00095473"/>
    <w:rsid w:val="00097C47"/>
    <w:rsid w:val="000A05BB"/>
    <w:rsid w:val="000A08F2"/>
    <w:rsid w:val="000A1E92"/>
    <w:rsid w:val="000A2D5A"/>
    <w:rsid w:val="000A3102"/>
    <w:rsid w:val="000A3616"/>
    <w:rsid w:val="000A4319"/>
    <w:rsid w:val="000A4404"/>
    <w:rsid w:val="000A4E4D"/>
    <w:rsid w:val="000A5C9D"/>
    <w:rsid w:val="000A6BD0"/>
    <w:rsid w:val="000A6CBE"/>
    <w:rsid w:val="000A6D04"/>
    <w:rsid w:val="000A7115"/>
    <w:rsid w:val="000B0486"/>
    <w:rsid w:val="000B0C9C"/>
    <w:rsid w:val="000B15C5"/>
    <w:rsid w:val="000B1A27"/>
    <w:rsid w:val="000B1B43"/>
    <w:rsid w:val="000B1EAD"/>
    <w:rsid w:val="000B2DDC"/>
    <w:rsid w:val="000B315B"/>
    <w:rsid w:val="000B48F9"/>
    <w:rsid w:val="000B5E43"/>
    <w:rsid w:val="000B5EEA"/>
    <w:rsid w:val="000B6821"/>
    <w:rsid w:val="000B7177"/>
    <w:rsid w:val="000B745F"/>
    <w:rsid w:val="000B78CC"/>
    <w:rsid w:val="000B7963"/>
    <w:rsid w:val="000B7D03"/>
    <w:rsid w:val="000B7FAE"/>
    <w:rsid w:val="000C009F"/>
    <w:rsid w:val="000C15C4"/>
    <w:rsid w:val="000C1CD2"/>
    <w:rsid w:val="000C38B4"/>
    <w:rsid w:val="000C3B29"/>
    <w:rsid w:val="000C494F"/>
    <w:rsid w:val="000C5D7D"/>
    <w:rsid w:val="000C5E40"/>
    <w:rsid w:val="000C6183"/>
    <w:rsid w:val="000C6534"/>
    <w:rsid w:val="000C65EC"/>
    <w:rsid w:val="000C7046"/>
    <w:rsid w:val="000D0E69"/>
    <w:rsid w:val="000D3743"/>
    <w:rsid w:val="000D3E9F"/>
    <w:rsid w:val="000D4385"/>
    <w:rsid w:val="000D5D53"/>
    <w:rsid w:val="000D5DB9"/>
    <w:rsid w:val="000D5E5C"/>
    <w:rsid w:val="000D6B5D"/>
    <w:rsid w:val="000D79E4"/>
    <w:rsid w:val="000D7D2C"/>
    <w:rsid w:val="000D7EED"/>
    <w:rsid w:val="000E043A"/>
    <w:rsid w:val="000E1340"/>
    <w:rsid w:val="000E17CB"/>
    <w:rsid w:val="000E1982"/>
    <w:rsid w:val="000E2142"/>
    <w:rsid w:val="000E331B"/>
    <w:rsid w:val="000E3573"/>
    <w:rsid w:val="000E3BA0"/>
    <w:rsid w:val="000E3CF5"/>
    <w:rsid w:val="000E3F82"/>
    <w:rsid w:val="000E417D"/>
    <w:rsid w:val="000E48D4"/>
    <w:rsid w:val="000E51DC"/>
    <w:rsid w:val="000E51FE"/>
    <w:rsid w:val="000E7066"/>
    <w:rsid w:val="000F20ED"/>
    <w:rsid w:val="000F26BD"/>
    <w:rsid w:val="000F31B8"/>
    <w:rsid w:val="000F3487"/>
    <w:rsid w:val="000F4A24"/>
    <w:rsid w:val="000F4CA8"/>
    <w:rsid w:val="000F5924"/>
    <w:rsid w:val="000F5AA8"/>
    <w:rsid w:val="001003F6"/>
    <w:rsid w:val="00100489"/>
    <w:rsid w:val="00100F26"/>
    <w:rsid w:val="00101CD3"/>
    <w:rsid w:val="00102AD6"/>
    <w:rsid w:val="00103292"/>
    <w:rsid w:val="00103D26"/>
    <w:rsid w:val="0010412B"/>
    <w:rsid w:val="0010448D"/>
    <w:rsid w:val="00104BAA"/>
    <w:rsid w:val="00104C77"/>
    <w:rsid w:val="00104D64"/>
    <w:rsid w:val="0010663A"/>
    <w:rsid w:val="001069DD"/>
    <w:rsid w:val="00110558"/>
    <w:rsid w:val="001115B5"/>
    <w:rsid w:val="00112247"/>
    <w:rsid w:val="001134D2"/>
    <w:rsid w:val="00113AE3"/>
    <w:rsid w:val="00113C44"/>
    <w:rsid w:val="00113D12"/>
    <w:rsid w:val="00114975"/>
    <w:rsid w:val="0011526C"/>
    <w:rsid w:val="00116250"/>
    <w:rsid w:val="001176BC"/>
    <w:rsid w:val="00117BC6"/>
    <w:rsid w:val="0012053D"/>
    <w:rsid w:val="00120735"/>
    <w:rsid w:val="001217CC"/>
    <w:rsid w:val="00122BE0"/>
    <w:rsid w:val="00124790"/>
    <w:rsid w:val="00124AD5"/>
    <w:rsid w:val="00124C72"/>
    <w:rsid w:val="0012501A"/>
    <w:rsid w:val="00125146"/>
    <w:rsid w:val="00125255"/>
    <w:rsid w:val="001255C1"/>
    <w:rsid w:val="0012643C"/>
    <w:rsid w:val="00126E90"/>
    <w:rsid w:val="0012741E"/>
    <w:rsid w:val="00131B4A"/>
    <w:rsid w:val="001320DD"/>
    <w:rsid w:val="0013523B"/>
    <w:rsid w:val="00135AEE"/>
    <w:rsid w:val="001361D6"/>
    <w:rsid w:val="001363EF"/>
    <w:rsid w:val="00136ABC"/>
    <w:rsid w:val="00137976"/>
    <w:rsid w:val="00137D74"/>
    <w:rsid w:val="00137D9A"/>
    <w:rsid w:val="0014038F"/>
    <w:rsid w:val="001416CF"/>
    <w:rsid w:val="00142243"/>
    <w:rsid w:val="001433D3"/>
    <w:rsid w:val="00145CA2"/>
    <w:rsid w:val="00146712"/>
    <w:rsid w:val="001469C3"/>
    <w:rsid w:val="00146FDB"/>
    <w:rsid w:val="001477A4"/>
    <w:rsid w:val="00150AD6"/>
    <w:rsid w:val="00150B89"/>
    <w:rsid w:val="00150E8A"/>
    <w:rsid w:val="001511F1"/>
    <w:rsid w:val="001520D0"/>
    <w:rsid w:val="00152CEE"/>
    <w:rsid w:val="0015355D"/>
    <w:rsid w:val="00153984"/>
    <w:rsid w:val="00154334"/>
    <w:rsid w:val="00154914"/>
    <w:rsid w:val="00154F47"/>
    <w:rsid w:val="00155629"/>
    <w:rsid w:val="001561E0"/>
    <w:rsid w:val="00156868"/>
    <w:rsid w:val="00156DB4"/>
    <w:rsid w:val="00160A64"/>
    <w:rsid w:val="00162468"/>
    <w:rsid w:val="001624BC"/>
    <w:rsid w:val="001640F7"/>
    <w:rsid w:val="00164C98"/>
    <w:rsid w:val="0016708E"/>
    <w:rsid w:val="00173232"/>
    <w:rsid w:val="00173DDE"/>
    <w:rsid w:val="001740C5"/>
    <w:rsid w:val="001769F3"/>
    <w:rsid w:val="00176C88"/>
    <w:rsid w:val="001810E9"/>
    <w:rsid w:val="00181AA7"/>
    <w:rsid w:val="0018245B"/>
    <w:rsid w:val="00182F28"/>
    <w:rsid w:val="00183E97"/>
    <w:rsid w:val="00185AB4"/>
    <w:rsid w:val="00185C1F"/>
    <w:rsid w:val="00186B1D"/>
    <w:rsid w:val="00187E9A"/>
    <w:rsid w:val="00187F79"/>
    <w:rsid w:val="00190710"/>
    <w:rsid w:val="001920E8"/>
    <w:rsid w:val="001921FA"/>
    <w:rsid w:val="0019262A"/>
    <w:rsid w:val="001926E4"/>
    <w:rsid w:val="001939A0"/>
    <w:rsid w:val="00194309"/>
    <w:rsid w:val="00195354"/>
    <w:rsid w:val="00195DF2"/>
    <w:rsid w:val="00196F2D"/>
    <w:rsid w:val="001A19B1"/>
    <w:rsid w:val="001A2024"/>
    <w:rsid w:val="001A3EF4"/>
    <w:rsid w:val="001A46DC"/>
    <w:rsid w:val="001A56F4"/>
    <w:rsid w:val="001A6ECB"/>
    <w:rsid w:val="001A7CC4"/>
    <w:rsid w:val="001B033A"/>
    <w:rsid w:val="001B0401"/>
    <w:rsid w:val="001B063C"/>
    <w:rsid w:val="001B0D93"/>
    <w:rsid w:val="001B0DC9"/>
    <w:rsid w:val="001B30D1"/>
    <w:rsid w:val="001B41FE"/>
    <w:rsid w:val="001B45D2"/>
    <w:rsid w:val="001B4D2A"/>
    <w:rsid w:val="001B5072"/>
    <w:rsid w:val="001B5655"/>
    <w:rsid w:val="001B58B4"/>
    <w:rsid w:val="001B6912"/>
    <w:rsid w:val="001C0270"/>
    <w:rsid w:val="001C08CA"/>
    <w:rsid w:val="001C1E3D"/>
    <w:rsid w:val="001C334B"/>
    <w:rsid w:val="001C3513"/>
    <w:rsid w:val="001C3696"/>
    <w:rsid w:val="001C4FAB"/>
    <w:rsid w:val="001C522E"/>
    <w:rsid w:val="001C57AD"/>
    <w:rsid w:val="001D05E4"/>
    <w:rsid w:val="001D06C3"/>
    <w:rsid w:val="001D07C0"/>
    <w:rsid w:val="001D07CE"/>
    <w:rsid w:val="001D16EA"/>
    <w:rsid w:val="001D1F4D"/>
    <w:rsid w:val="001D2E51"/>
    <w:rsid w:val="001D333F"/>
    <w:rsid w:val="001D36A6"/>
    <w:rsid w:val="001D36BC"/>
    <w:rsid w:val="001D374C"/>
    <w:rsid w:val="001D3F75"/>
    <w:rsid w:val="001D4537"/>
    <w:rsid w:val="001D5313"/>
    <w:rsid w:val="001D6866"/>
    <w:rsid w:val="001D6950"/>
    <w:rsid w:val="001D78B4"/>
    <w:rsid w:val="001E1E3C"/>
    <w:rsid w:val="001E3249"/>
    <w:rsid w:val="001E361E"/>
    <w:rsid w:val="001E406F"/>
    <w:rsid w:val="001E6FAF"/>
    <w:rsid w:val="001E7856"/>
    <w:rsid w:val="001F0BD4"/>
    <w:rsid w:val="001F0F30"/>
    <w:rsid w:val="001F100F"/>
    <w:rsid w:val="001F1630"/>
    <w:rsid w:val="001F27DE"/>
    <w:rsid w:val="001F3221"/>
    <w:rsid w:val="001F3287"/>
    <w:rsid w:val="001F4000"/>
    <w:rsid w:val="001F4331"/>
    <w:rsid w:val="001F4851"/>
    <w:rsid w:val="001F51E0"/>
    <w:rsid w:val="001F5920"/>
    <w:rsid w:val="001F7C11"/>
    <w:rsid w:val="001F7C73"/>
    <w:rsid w:val="001F7CD9"/>
    <w:rsid w:val="00200281"/>
    <w:rsid w:val="00201746"/>
    <w:rsid w:val="002017F3"/>
    <w:rsid w:val="0020318F"/>
    <w:rsid w:val="002034FC"/>
    <w:rsid w:val="00204754"/>
    <w:rsid w:val="00206F83"/>
    <w:rsid w:val="002102CD"/>
    <w:rsid w:val="002114C5"/>
    <w:rsid w:val="00211741"/>
    <w:rsid w:val="00212489"/>
    <w:rsid w:val="00212A6D"/>
    <w:rsid w:val="002130D1"/>
    <w:rsid w:val="0021352F"/>
    <w:rsid w:val="002137D2"/>
    <w:rsid w:val="0022185A"/>
    <w:rsid w:val="00221C59"/>
    <w:rsid w:val="00222B72"/>
    <w:rsid w:val="00224166"/>
    <w:rsid w:val="00225C31"/>
    <w:rsid w:val="00230E29"/>
    <w:rsid w:val="00232E92"/>
    <w:rsid w:val="00233C78"/>
    <w:rsid w:val="00234726"/>
    <w:rsid w:val="0023493C"/>
    <w:rsid w:val="00235E2F"/>
    <w:rsid w:val="00235E3A"/>
    <w:rsid w:val="00236374"/>
    <w:rsid w:val="0023654C"/>
    <w:rsid w:val="00236A28"/>
    <w:rsid w:val="00236E42"/>
    <w:rsid w:val="002370DA"/>
    <w:rsid w:val="002403BA"/>
    <w:rsid w:val="0024076B"/>
    <w:rsid w:val="00240CD5"/>
    <w:rsid w:val="002410FC"/>
    <w:rsid w:val="00241AB5"/>
    <w:rsid w:val="002432FE"/>
    <w:rsid w:val="002439B8"/>
    <w:rsid w:val="002441D5"/>
    <w:rsid w:val="00244615"/>
    <w:rsid w:val="00244A1E"/>
    <w:rsid w:val="00244FEF"/>
    <w:rsid w:val="002512A1"/>
    <w:rsid w:val="00251EBD"/>
    <w:rsid w:val="00260255"/>
    <w:rsid w:val="00261FB5"/>
    <w:rsid w:val="002629AE"/>
    <w:rsid w:val="00264616"/>
    <w:rsid w:val="00265B6A"/>
    <w:rsid w:val="00265E38"/>
    <w:rsid w:val="00265FB9"/>
    <w:rsid w:val="002662D5"/>
    <w:rsid w:val="00267166"/>
    <w:rsid w:val="002700B5"/>
    <w:rsid w:val="002721E4"/>
    <w:rsid w:val="002727BD"/>
    <w:rsid w:val="002729B6"/>
    <w:rsid w:val="00272ABD"/>
    <w:rsid w:val="00273207"/>
    <w:rsid w:val="002734CE"/>
    <w:rsid w:val="00273781"/>
    <w:rsid w:val="00275BBC"/>
    <w:rsid w:val="002771D6"/>
    <w:rsid w:val="00277431"/>
    <w:rsid w:val="0028002B"/>
    <w:rsid w:val="00280904"/>
    <w:rsid w:val="00280ED7"/>
    <w:rsid w:val="00281200"/>
    <w:rsid w:val="0028246F"/>
    <w:rsid w:val="00282C44"/>
    <w:rsid w:val="00282D84"/>
    <w:rsid w:val="002833EF"/>
    <w:rsid w:val="00283963"/>
    <w:rsid w:val="00283A9F"/>
    <w:rsid w:val="00283DDE"/>
    <w:rsid w:val="00284441"/>
    <w:rsid w:val="00284749"/>
    <w:rsid w:val="0028528C"/>
    <w:rsid w:val="00286025"/>
    <w:rsid w:val="002865B7"/>
    <w:rsid w:val="00287AA1"/>
    <w:rsid w:val="00291348"/>
    <w:rsid w:val="002926FA"/>
    <w:rsid w:val="002930A6"/>
    <w:rsid w:val="00293969"/>
    <w:rsid w:val="00293C86"/>
    <w:rsid w:val="00294566"/>
    <w:rsid w:val="002946DA"/>
    <w:rsid w:val="002955BA"/>
    <w:rsid w:val="00295CCA"/>
    <w:rsid w:val="00296197"/>
    <w:rsid w:val="00297891"/>
    <w:rsid w:val="00297BEA"/>
    <w:rsid w:val="002A0013"/>
    <w:rsid w:val="002A1645"/>
    <w:rsid w:val="002A16AE"/>
    <w:rsid w:val="002A33A8"/>
    <w:rsid w:val="002A33E0"/>
    <w:rsid w:val="002A401D"/>
    <w:rsid w:val="002A4DA0"/>
    <w:rsid w:val="002A58C0"/>
    <w:rsid w:val="002A5A65"/>
    <w:rsid w:val="002A6414"/>
    <w:rsid w:val="002A66C4"/>
    <w:rsid w:val="002A7262"/>
    <w:rsid w:val="002A7B1A"/>
    <w:rsid w:val="002B01AC"/>
    <w:rsid w:val="002B0758"/>
    <w:rsid w:val="002B1290"/>
    <w:rsid w:val="002B1528"/>
    <w:rsid w:val="002B2906"/>
    <w:rsid w:val="002B32B2"/>
    <w:rsid w:val="002B3D01"/>
    <w:rsid w:val="002B4289"/>
    <w:rsid w:val="002B488D"/>
    <w:rsid w:val="002B4C54"/>
    <w:rsid w:val="002B567C"/>
    <w:rsid w:val="002B5950"/>
    <w:rsid w:val="002B6416"/>
    <w:rsid w:val="002C0896"/>
    <w:rsid w:val="002C0BC6"/>
    <w:rsid w:val="002C1263"/>
    <w:rsid w:val="002C1409"/>
    <w:rsid w:val="002C1705"/>
    <w:rsid w:val="002C22C0"/>
    <w:rsid w:val="002C3B2D"/>
    <w:rsid w:val="002C4B60"/>
    <w:rsid w:val="002C5579"/>
    <w:rsid w:val="002C6A17"/>
    <w:rsid w:val="002D014F"/>
    <w:rsid w:val="002D024A"/>
    <w:rsid w:val="002D0AF7"/>
    <w:rsid w:val="002D1234"/>
    <w:rsid w:val="002D2355"/>
    <w:rsid w:val="002D26CC"/>
    <w:rsid w:val="002D299C"/>
    <w:rsid w:val="002D2DCF"/>
    <w:rsid w:val="002D399A"/>
    <w:rsid w:val="002D435E"/>
    <w:rsid w:val="002D54F7"/>
    <w:rsid w:val="002D58C3"/>
    <w:rsid w:val="002D72C0"/>
    <w:rsid w:val="002D7FE7"/>
    <w:rsid w:val="002E1C6F"/>
    <w:rsid w:val="002E44FC"/>
    <w:rsid w:val="002E5CC8"/>
    <w:rsid w:val="002E7AF6"/>
    <w:rsid w:val="002F0664"/>
    <w:rsid w:val="002F111C"/>
    <w:rsid w:val="002F128F"/>
    <w:rsid w:val="002F1F3A"/>
    <w:rsid w:val="002F2356"/>
    <w:rsid w:val="002F2521"/>
    <w:rsid w:val="002F6109"/>
    <w:rsid w:val="002F7C30"/>
    <w:rsid w:val="002F7C94"/>
    <w:rsid w:val="003000DA"/>
    <w:rsid w:val="00300A3A"/>
    <w:rsid w:val="00300CC8"/>
    <w:rsid w:val="003012E1"/>
    <w:rsid w:val="00301801"/>
    <w:rsid w:val="00302A03"/>
    <w:rsid w:val="00302CFE"/>
    <w:rsid w:val="00303077"/>
    <w:rsid w:val="003043DD"/>
    <w:rsid w:val="00305425"/>
    <w:rsid w:val="0030548E"/>
    <w:rsid w:val="00305DF7"/>
    <w:rsid w:val="00306E29"/>
    <w:rsid w:val="00307294"/>
    <w:rsid w:val="00307971"/>
    <w:rsid w:val="0030798A"/>
    <w:rsid w:val="003105CE"/>
    <w:rsid w:val="0031064F"/>
    <w:rsid w:val="00311974"/>
    <w:rsid w:val="00311A38"/>
    <w:rsid w:val="00311FCC"/>
    <w:rsid w:val="00312502"/>
    <w:rsid w:val="00314110"/>
    <w:rsid w:val="00315932"/>
    <w:rsid w:val="00316AA9"/>
    <w:rsid w:val="00316FA0"/>
    <w:rsid w:val="00320078"/>
    <w:rsid w:val="003214B1"/>
    <w:rsid w:val="0032182F"/>
    <w:rsid w:val="00321DC2"/>
    <w:rsid w:val="00322710"/>
    <w:rsid w:val="00322EEC"/>
    <w:rsid w:val="00322FE2"/>
    <w:rsid w:val="003231D3"/>
    <w:rsid w:val="003231DF"/>
    <w:rsid w:val="0032353D"/>
    <w:rsid w:val="00324007"/>
    <w:rsid w:val="00325918"/>
    <w:rsid w:val="003269E6"/>
    <w:rsid w:val="00327316"/>
    <w:rsid w:val="0033082F"/>
    <w:rsid w:val="003310AB"/>
    <w:rsid w:val="00331D80"/>
    <w:rsid w:val="00333096"/>
    <w:rsid w:val="00333114"/>
    <w:rsid w:val="00333F13"/>
    <w:rsid w:val="00334ACB"/>
    <w:rsid w:val="00335ADF"/>
    <w:rsid w:val="00336240"/>
    <w:rsid w:val="00336F42"/>
    <w:rsid w:val="0033709B"/>
    <w:rsid w:val="00337CFA"/>
    <w:rsid w:val="00337DFA"/>
    <w:rsid w:val="003406CF"/>
    <w:rsid w:val="003407CA"/>
    <w:rsid w:val="00340EC7"/>
    <w:rsid w:val="003417A8"/>
    <w:rsid w:val="00342A76"/>
    <w:rsid w:val="00343BFB"/>
    <w:rsid w:val="00343F12"/>
    <w:rsid w:val="00344998"/>
    <w:rsid w:val="00344E3F"/>
    <w:rsid w:val="003459E0"/>
    <w:rsid w:val="00345EE7"/>
    <w:rsid w:val="00346734"/>
    <w:rsid w:val="0034792C"/>
    <w:rsid w:val="00350EFE"/>
    <w:rsid w:val="0035160D"/>
    <w:rsid w:val="003520E2"/>
    <w:rsid w:val="00354801"/>
    <w:rsid w:val="00354C96"/>
    <w:rsid w:val="00355010"/>
    <w:rsid w:val="003553C4"/>
    <w:rsid w:val="00356468"/>
    <w:rsid w:val="00356A72"/>
    <w:rsid w:val="00357C17"/>
    <w:rsid w:val="00357E6B"/>
    <w:rsid w:val="0036049E"/>
    <w:rsid w:val="0036086E"/>
    <w:rsid w:val="00360AA8"/>
    <w:rsid w:val="00361B69"/>
    <w:rsid w:val="00362400"/>
    <w:rsid w:val="00364119"/>
    <w:rsid w:val="00364E60"/>
    <w:rsid w:val="0036635F"/>
    <w:rsid w:val="00366762"/>
    <w:rsid w:val="0036682B"/>
    <w:rsid w:val="00367ECF"/>
    <w:rsid w:val="00367F46"/>
    <w:rsid w:val="003727D4"/>
    <w:rsid w:val="00372E88"/>
    <w:rsid w:val="00373F50"/>
    <w:rsid w:val="00374228"/>
    <w:rsid w:val="00376031"/>
    <w:rsid w:val="00376119"/>
    <w:rsid w:val="00377055"/>
    <w:rsid w:val="003772F6"/>
    <w:rsid w:val="00377C3E"/>
    <w:rsid w:val="003804A7"/>
    <w:rsid w:val="00380676"/>
    <w:rsid w:val="00381038"/>
    <w:rsid w:val="00382EF1"/>
    <w:rsid w:val="003835AD"/>
    <w:rsid w:val="0038524B"/>
    <w:rsid w:val="003855A2"/>
    <w:rsid w:val="0038563E"/>
    <w:rsid w:val="00385666"/>
    <w:rsid w:val="0038610C"/>
    <w:rsid w:val="00386750"/>
    <w:rsid w:val="00386D87"/>
    <w:rsid w:val="00386F75"/>
    <w:rsid w:val="0038708C"/>
    <w:rsid w:val="0038726D"/>
    <w:rsid w:val="0038778E"/>
    <w:rsid w:val="003879E3"/>
    <w:rsid w:val="00387C8E"/>
    <w:rsid w:val="00387E2E"/>
    <w:rsid w:val="0039005C"/>
    <w:rsid w:val="003904D5"/>
    <w:rsid w:val="003925D8"/>
    <w:rsid w:val="003954C5"/>
    <w:rsid w:val="00395733"/>
    <w:rsid w:val="00395BDE"/>
    <w:rsid w:val="003A11BE"/>
    <w:rsid w:val="003A1887"/>
    <w:rsid w:val="003A3B01"/>
    <w:rsid w:val="003A5A81"/>
    <w:rsid w:val="003A6311"/>
    <w:rsid w:val="003A6435"/>
    <w:rsid w:val="003A656D"/>
    <w:rsid w:val="003A65A7"/>
    <w:rsid w:val="003B0E04"/>
    <w:rsid w:val="003B16B7"/>
    <w:rsid w:val="003B1B81"/>
    <w:rsid w:val="003B37CA"/>
    <w:rsid w:val="003B4383"/>
    <w:rsid w:val="003B512D"/>
    <w:rsid w:val="003B6623"/>
    <w:rsid w:val="003B7578"/>
    <w:rsid w:val="003C0649"/>
    <w:rsid w:val="003C0A11"/>
    <w:rsid w:val="003C0D72"/>
    <w:rsid w:val="003C0EF8"/>
    <w:rsid w:val="003C1090"/>
    <w:rsid w:val="003C57E8"/>
    <w:rsid w:val="003C5E55"/>
    <w:rsid w:val="003C61B6"/>
    <w:rsid w:val="003C6872"/>
    <w:rsid w:val="003C783B"/>
    <w:rsid w:val="003D000E"/>
    <w:rsid w:val="003D013D"/>
    <w:rsid w:val="003D0770"/>
    <w:rsid w:val="003D09A0"/>
    <w:rsid w:val="003D1F20"/>
    <w:rsid w:val="003D251B"/>
    <w:rsid w:val="003D27D8"/>
    <w:rsid w:val="003D28FF"/>
    <w:rsid w:val="003D38AA"/>
    <w:rsid w:val="003D3BF9"/>
    <w:rsid w:val="003D4B1B"/>
    <w:rsid w:val="003D4C20"/>
    <w:rsid w:val="003D5447"/>
    <w:rsid w:val="003D59EA"/>
    <w:rsid w:val="003D6481"/>
    <w:rsid w:val="003D795C"/>
    <w:rsid w:val="003E033C"/>
    <w:rsid w:val="003E11B3"/>
    <w:rsid w:val="003E1C06"/>
    <w:rsid w:val="003E23A6"/>
    <w:rsid w:val="003E2630"/>
    <w:rsid w:val="003E26E8"/>
    <w:rsid w:val="003E2AE0"/>
    <w:rsid w:val="003E402F"/>
    <w:rsid w:val="003E4FEB"/>
    <w:rsid w:val="003E5FF6"/>
    <w:rsid w:val="003E638B"/>
    <w:rsid w:val="003E6812"/>
    <w:rsid w:val="003E75E3"/>
    <w:rsid w:val="003F0578"/>
    <w:rsid w:val="003F1CA1"/>
    <w:rsid w:val="003F239D"/>
    <w:rsid w:val="003F26D8"/>
    <w:rsid w:val="003F3FA1"/>
    <w:rsid w:val="003F4332"/>
    <w:rsid w:val="003F5207"/>
    <w:rsid w:val="003F5935"/>
    <w:rsid w:val="003F5A33"/>
    <w:rsid w:val="003F5AF4"/>
    <w:rsid w:val="003F69FB"/>
    <w:rsid w:val="0040230A"/>
    <w:rsid w:val="0040234C"/>
    <w:rsid w:val="00402D66"/>
    <w:rsid w:val="00403D49"/>
    <w:rsid w:val="004040C8"/>
    <w:rsid w:val="00404DF5"/>
    <w:rsid w:val="004051D0"/>
    <w:rsid w:val="0040690E"/>
    <w:rsid w:val="00407373"/>
    <w:rsid w:val="004078A9"/>
    <w:rsid w:val="004109F4"/>
    <w:rsid w:val="00410FE0"/>
    <w:rsid w:val="00412083"/>
    <w:rsid w:val="00414468"/>
    <w:rsid w:val="00414D94"/>
    <w:rsid w:val="00414FA8"/>
    <w:rsid w:val="00415528"/>
    <w:rsid w:val="00415811"/>
    <w:rsid w:val="00415F25"/>
    <w:rsid w:val="0041648C"/>
    <w:rsid w:val="00416990"/>
    <w:rsid w:val="00417AC8"/>
    <w:rsid w:val="00420202"/>
    <w:rsid w:val="0042032E"/>
    <w:rsid w:val="0042072B"/>
    <w:rsid w:val="00420EEF"/>
    <w:rsid w:val="00421DCA"/>
    <w:rsid w:val="00421FE7"/>
    <w:rsid w:val="00422037"/>
    <w:rsid w:val="0042255C"/>
    <w:rsid w:val="0042269F"/>
    <w:rsid w:val="00422E31"/>
    <w:rsid w:val="00424225"/>
    <w:rsid w:val="00424D9F"/>
    <w:rsid w:val="00424E9E"/>
    <w:rsid w:val="00425C00"/>
    <w:rsid w:val="00426967"/>
    <w:rsid w:val="004271F1"/>
    <w:rsid w:val="0043095E"/>
    <w:rsid w:val="004345A2"/>
    <w:rsid w:val="00434F72"/>
    <w:rsid w:val="00436478"/>
    <w:rsid w:val="00436B41"/>
    <w:rsid w:val="0044046C"/>
    <w:rsid w:val="00441899"/>
    <w:rsid w:val="004422AF"/>
    <w:rsid w:val="00442D54"/>
    <w:rsid w:val="00443686"/>
    <w:rsid w:val="004439A9"/>
    <w:rsid w:val="0044404A"/>
    <w:rsid w:val="00444C97"/>
    <w:rsid w:val="00445EB6"/>
    <w:rsid w:val="0045187A"/>
    <w:rsid w:val="00451DC6"/>
    <w:rsid w:val="004534ED"/>
    <w:rsid w:val="00453786"/>
    <w:rsid w:val="004540BA"/>
    <w:rsid w:val="00454D56"/>
    <w:rsid w:val="00454DCD"/>
    <w:rsid w:val="004553F0"/>
    <w:rsid w:val="00455FC8"/>
    <w:rsid w:val="00457015"/>
    <w:rsid w:val="00457D74"/>
    <w:rsid w:val="004609B8"/>
    <w:rsid w:val="00461133"/>
    <w:rsid w:val="00461EE7"/>
    <w:rsid w:val="004623C9"/>
    <w:rsid w:val="00462465"/>
    <w:rsid w:val="00462712"/>
    <w:rsid w:val="00462B27"/>
    <w:rsid w:val="00462DAF"/>
    <w:rsid w:val="0046489F"/>
    <w:rsid w:val="00464A4B"/>
    <w:rsid w:val="004653E9"/>
    <w:rsid w:val="00465653"/>
    <w:rsid w:val="004704AC"/>
    <w:rsid w:val="00470AB8"/>
    <w:rsid w:val="00470BC5"/>
    <w:rsid w:val="004715C3"/>
    <w:rsid w:val="004726F8"/>
    <w:rsid w:val="004727E1"/>
    <w:rsid w:val="00472808"/>
    <w:rsid w:val="00472FD5"/>
    <w:rsid w:val="004732BE"/>
    <w:rsid w:val="004737EB"/>
    <w:rsid w:val="0047451F"/>
    <w:rsid w:val="0047667A"/>
    <w:rsid w:val="004802FC"/>
    <w:rsid w:val="00480746"/>
    <w:rsid w:val="00480B1A"/>
    <w:rsid w:val="004814C7"/>
    <w:rsid w:val="00481B98"/>
    <w:rsid w:val="00484861"/>
    <w:rsid w:val="004855D7"/>
    <w:rsid w:val="004859DC"/>
    <w:rsid w:val="00485A07"/>
    <w:rsid w:val="00485D62"/>
    <w:rsid w:val="004860A4"/>
    <w:rsid w:val="0048719C"/>
    <w:rsid w:val="004876C1"/>
    <w:rsid w:val="00490299"/>
    <w:rsid w:val="00490643"/>
    <w:rsid w:val="0049075E"/>
    <w:rsid w:val="00490CCA"/>
    <w:rsid w:val="00492409"/>
    <w:rsid w:val="00493885"/>
    <w:rsid w:val="00494E86"/>
    <w:rsid w:val="0049606F"/>
    <w:rsid w:val="0049710A"/>
    <w:rsid w:val="0049711C"/>
    <w:rsid w:val="00497328"/>
    <w:rsid w:val="004A0C8B"/>
    <w:rsid w:val="004A375E"/>
    <w:rsid w:val="004A43C7"/>
    <w:rsid w:val="004A621C"/>
    <w:rsid w:val="004A68A2"/>
    <w:rsid w:val="004B0348"/>
    <w:rsid w:val="004B2568"/>
    <w:rsid w:val="004B29DC"/>
    <w:rsid w:val="004B3BF4"/>
    <w:rsid w:val="004B42AA"/>
    <w:rsid w:val="004B451F"/>
    <w:rsid w:val="004B6314"/>
    <w:rsid w:val="004B72C7"/>
    <w:rsid w:val="004B78DE"/>
    <w:rsid w:val="004C11CC"/>
    <w:rsid w:val="004C1CF7"/>
    <w:rsid w:val="004C35D5"/>
    <w:rsid w:val="004C4610"/>
    <w:rsid w:val="004C52CE"/>
    <w:rsid w:val="004C56C2"/>
    <w:rsid w:val="004C66C7"/>
    <w:rsid w:val="004C6802"/>
    <w:rsid w:val="004C70A8"/>
    <w:rsid w:val="004C73D1"/>
    <w:rsid w:val="004D037C"/>
    <w:rsid w:val="004D048E"/>
    <w:rsid w:val="004D230D"/>
    <w:rsid w:val="004D24C0"/>
    <w:rsid w:val="004D390F"/>
    <w:rsid w:val="004D3A0B"/>
    <w:rsid w:val="004D3F55"/>
    <w:rsid w:val="004D44D3"/>
    <w:rsid w:val="004D4743"/>
    <w:rsid w:val="004D4C98"/>
    <w:rsid w:val="004D4FBF"/>
    <w:rsid w:val="004D575E"/>
    <w:rsid w:val="004D6076"/>
    <w:rsid w:val="004D633D"/>
    <w:rsid w:val="004D776A"/>
    <w:rsid w:val="004D796B"/>
    <w:rsid w:val="004E01C6"/>
    <w:rsid w:val="004E130E"/>
    <w:rsid w:val="004E1C34"/>
    <w:rsid w:val="004E33D3"/>
    <w:rsid w:val="004E441D"/>
    <w:rsid w:val="004E48A1"/>
    <w:rsid w:val="004E4B47"/>
    <w:rsid w:val="004E6F0E"/>
    <w:rsid w:val="004E6F8E"/>
    <w:rsid w:val="004E7B37"/>
    <w:rsid w:val="004E7C22"/>
    <w:rsid w:val="004F0DD7"/>
    <w:rsid w:val="004F2BB2"/>
    <w:rsid w:val="004F2E0A"/>
    <w:rsid w:val="004F451E"/>
    <w:rsid w:val="004F5837"/>
    <w:rsid w:val="004F5EDA"/>
    <w:rsid w:val="004F69B2"/>
    <w:rsid w:val="004F75D4"/>
    <w:rsid w:val="005002B6"/>
    <w:rsid w:val="00500750"/>
    <w:rsid w:val="00500AD8"/>
    <w:rsid w:val="00500DC4"/>
    <w:rsid w:val="005026EA"/>
    <w:rsid w:val="00502D7A"/>
    <w:rsid w:val="00502DD7"/>
    <w:rsid w:val="005039FD"/>
    <w:rsid w:val="0050484D"/>
    <w:rsid w:val="00507CC3"/>
    <w:rsid w:val="005101BE"/>
    <w:rsid w:val="00510996"/>
    <w:rsid w:val="00510A11"/>
    <w:rsid w:val="00510BA2"/>
    <w:rsid w:val="0051168A"/>
    <w:rsid w:val="00511EFB"/>
    <w:rsid w:val="00512E89"/>
    <w:rsid w:val="0051414F"/>
    <w:rsid w:val="005141F4"/>
    <w:rsid w:val="0051463E"/>
    <w:rsid w:val="0051607D"/>
    <w:rsid w:val="0052043D"/>
    <w:rsid w:val="0052056C"/>
    <w:rsid w:val="0052070E"/>
    <w:rsid w:val="00521195"/>
    <w:rsid w:val="00521963"/>
    <w:rsid w:val="00521F1A"/>
    <w:rsid w:val="0052392B"/>
    <w:rsid w:val="00524D42"/>
    <w:rsid w:val="005250F7"/>
    <w:rsid w:val="00526B2D"/>
    <w:rsid w:val="00530368"/>
    <w:rsid w:val="00531F27"/>
    <w:rsid w:val="00533890"/>
    <w:rsid w:val="005344CE"/>
    <w:rsid w:val="00534FD2"/>
    <w:rsid w:val="0053505B"/>
    <w:rsid w:val="00536046"/>
    <w:rsid w:val="0053650E"/>
    <w:rsid w:val="00536814"/>
    <w:rsid w:val="005369A8"/>
    <w:rsid w:val="00536C02"/>
    <w:rsid w:val="00540195"/>
    <w:rsid w:val="005404E2"/>
    <w:rsid w:val="005408E9"/>
    <w:rsid w:val="00541BF3"/>
    <w:rsid w:val="00541C45"/>
    <w:rsid w:val="0054347D"/>
    <w:rsid w:val="00544283"/>
    <w:rsid w:val="005443B6"/>
    <w:rsid w:val="00544637"/>
    <w:rsid w:val="00545D96"/>
    <w:rsid w:val="005463D3"/>
    <w:rsid w:val="00547CD2"/>
    <w:rsid w:val="00550199"/>
    <w:rsid w:val="0055523B"/>
    <w:rsid w:val="005558C0"/>
    <w:rsid w:val="005575D0"/>
    <w:rsid w:val="005577D0"/>
    <w:rsid w:val="005607E4"/>
    <w:rsid w:val="0056115B"/>
    <w:rsid w:val="005613C7"/>
    <w:rsid w:val="00561F4B"/>
    <w:rsid w:val="0056240A"/>
    <w:rsid w:val="00562572"/>
    <w:rsid w:val="00564C66"/>
    <w:rsid w:val="00565020"/>
    <w:rsid w:val="00565EFB"/>
    <w:rsid w:val="005669D7"/>
    <w:rsid w:val="00566A7D"/>
    <w:rsid w:val="00567C47"/>
    <w:rsid w:val="0057055E"/>
    <w:rsid w:val="00570653"/>
    <w:rsid w:val="0057071F"/>
    <w:rsid w:val="00571930"/>
    <w:rsid w:val="00572308"/>
    <w:rsid w:val="00572769"/>
    <w:rsid w:val="00572B03"/>
    <w:rsid w:val="00573F37"/>
    <w:rsid w:val="00574159"/>
    <w:rsid w:val="00575617"/>
    <w:rsid w:val="00580187"/>
    <w:rsid w:val="005804B9"/>
    <w:rsid w:val="00580CCE"/>
    <w:rsid w:val="00580EFF"/>
    <w:rsid w:val="005818B9"/>
    <w:rsid w:val="00582B0E"/>
    <w:rsid w:val="005831B9"/>
    <w:rsid w:val="00583F9D"/>
    <w:rsid w:val="005860CA"/>
    <w:rsid w:val="00586141"/>
    <w:rsid w:val="005862CD"/>
    <w:rsid w:val="00586501"/>
    <w:rsid w:val="005868DB"/>
    <w:rsid w:val="005870FD"/>
    <w:rsid w:val="00587DCA"/>
    <w:rsid w:val="005900E4"/>
    <w:rsid w:val="005906CC"/>
    <w:rsid w:val="00591924"/>
    <w:rsid w:val="00591C86"/>
    <w:rsid w:val="00592F0C"/>
    <w:rsid w:val="0059379F"/>
    <w:rsid w:val="00595841"/>
    <w:rsid w:val="00597BD1"/>
    <w:rsid w:val="005A10D5"/>
    <w:rsid w:val="005A1E5D"/>
    <w:rsid w:val="005A1F1E"/>
    <w:rsid w:val="005A3161"/>
    <w:rsid w:val="005A39EE"/>
    <w:rsid w:val="005A41E9"/>
    <w:rsid w:val="005A4909"/>
    <w:rsid w:val="005A51DD"/>
    <w:rsid w:val="005A612D"/>
    <w:rsid w:val="005A7051"/>
    <w:rsid w:val="005B2D73"/>
    <w:rsid w:val="005B3582"/>
    <w:rsid w:val="005B3BE6"/>
    <w:rsid w:val="005B41A8"/>
    <w:rsid w:val="005B47C9"/>
    <w:rsid w:val="005B539E"/>
    <w:rsid w:val="005B5477"/>
    <w:rsid w:val="005B562C"/>
    <w:rsid w:val="005B5BCD"/>
    <w:rsid w:val="005B5EB4"/>
    <w:rsid w:val="005B6C91"/>
    <w:rsid w:val="005B7018"/>
    <w:rsid w:val="005C0523"/>
    <w:rsid w:val="005C11D5"/>
    <w:rsid w:val="005C290D"/>
    <w:rsid w:val="005C3370"/>
    <w:rsid w:val="005C34D8"/>
    <w:rsid w:val="005C35DB"/>
    <w:rsid w:val="005C45CB"/>
    <w:rsid w:val="005C5BBE"/>
    <w:rsid w:val="005C6D12"/>
    <w:rsid w:val="005C75AD"/>
    <w:rsid w:val="005D059D"/>
    <w:rsid w:val="005D0AA2"/>
    <w:rsid w:val="005D3397"/>
    <w:rsid w:val="005D347E"/>
    <w:rsid w:val="005D44C8"/>
    <w:rsid w:val="005D4C91"/>
    <w:rsid w:val="005D5D98"/>
    <w:rsid w:val="005D6C80"/>
    <w:rsid w:val="005D6F95"/>
    <w:rsid w:val="005D74FA"/>
    <w:rsid w:val="005D7ABD"/>
    <w:rsid w:val="005D7F1F"/>
    <w:rsid w:val="005E1C9B"/>
    <w:rsid w:val="005E20AB"/>
    <w:rsid w:val="005E2921"/>
    <w:rsid w:val="005E2F5E"/>
    <w:rsid w:val="005E510E"/>
    <w:rsid w:val="005E6927"/>
    <w:rsid w:val="005E7146"/>
    <w:rsid w:val="005E739E"/>
    <w:rsid w:val="005E743D"/>
    <w:rsid w:val="005E76C7"/>
    <w:rsid w:val="005E795B"/>
    <w:rsid w:val="005E7BFF"/>
    <w:rsid w:val="005F084E"/>
    <w:rsid w:val="005F096B"/>
    <w:rsid w:val="005F1A49"/>
    <w:rsid w:val="005F2335"/>
    <w:rsid w:val="005F26B2"/>
    <w:rsid w:val="005F27B6"/>
    <w:rsid w:val="005F2F1B"/>
    <w:rsid w:val="005F3A80"/>
    <w:rsid w:val="005F4ACC"/>
    <w:rsid w:val="005F5128"/>
    <w:rsid w:val="005F5B04"/>
    <w:rsid w:val="005F608D"/>
    <w:rsid w:val="005F6C72"/>
    <w:rsid w:val="005F6F06"/>
    <w:rsid w:val="005F6F41"/>
    <w:rsid w:val="005F72E1"/>
    <w:rsid w:val="005F7585"/>
    <w:rsid w:val="005F7597"/>
    <w:rsid w:val="00600A1E"/>
    <w:rsid w:val="00601E20"/>
    <w:rsid w:val="006039A4"/>
    <w:rsid w:val="00603C3D"/>
    <w:rsid w:val="00603CCB"/>
    <w:rsid w:val="00604989"/>
    <w:rsid w:val="00604BD6"/>
    <w:rsid w:val="00604BF9"/>
    <w:rsid w:val="00604E9D"/>
    <w:rsid w:val="00607879"/>
    <w:rsid w:val="00610247"/>
    <w:rsid w:val="00610350"/>
    <w:rsid w:val="00610524"/>
    <w:rsid w:val="0061131E"/>
    <w:rsid w:val="006120EE"/>
    <w:rsid w:val="00612812"/>
    <w:rsid w:val="00616232"/>
    <w:rsid w:val="00616E27"/>
    <w:rsid w:val="00616FB9"/>
    <w:rsid w:val="006206B9"/>
    <w:rsid w:val="00620718"/>
    <w:rsid w:val="00620EAB"/>
    <w:rsid w:val="00621A9F"/>
    <w:rsid w:val="006231BB"/>
    <w:rsid w:val="00624C21"/>
    <w:rsid w:val="00625413"/>
    <w:rsid w:val="00626065"/>
    <w:rsid w:val="0062663C"/>
    <w:rsid w:val="00632F87"/>
    <w:rsid w:val="00633100"/>
    <w:rsid w:val="00633D38"/>
    <w:rsid w:val="00633EB9"/>
    <w:rsid w:val="00634EF1"/>
    <w:rsid w:val="00635D6A"/>
    <w:rsid w:val="00636C13"/>
    <w:rsid w:val="006370AE"/>
    <w:rsid w:val="00637F11"/>
    <w:rsid w:val="00640257"/>
    <w:rsid w:val="006406C8"/>
    <w:rsid w:val="006408B0"/>
    <w:rsid w:val="006414ED"/>
    <w:rsid w:val="0064207E"/>
    <w:rsid w:val="0064255F"/>
    <w:rsid w:val="006437B4"/>
    <w:rsid w:val="006453AB"/>
    <w:rsid w:val="00645E26"/>
    <w:rsid w:val="00647C73"/>
    <w:rsid w:val="0065023F"/>
    <w:rsid w:val="00650B2E"/>
    <w:rsid w:val="00650D32"/>
    <w:rsid w:val="0065189C"/>
    <w:rsid w:val="0065235E"/>
    <w:rsid w:val="006527A0"/>
    <w:rsid w:val="0065294B"/>
    <w:rsid w:val="00652A5D"/>
    <w:rsid w:val="006533AE"/>
    <w:rsid w:val="0065380D"/>
    <w:rsid w:val="00653E56"/>
    <w:rsid w:val="00654AF7"/>
    <w:rsid w:val="00656A6B"/>
    <w:rsid w:val="00656B34"/>
    <w:rsid w:val="00656CD7"/>
    <w:rsid w:val="00656FE7"/>
    <w:rsid w:val="00660974"/>
    <w:rsid w:val="00660D0D"/>
    <w:rsid w:val="006611DD"/>
    <w:rsid w:val="0066370F"/>
    <w:rsid w:val="00663FA9"/>
    <w:rsid w:val="0066484C"/>
    <w:rsid w:val="00667D26"/>
    <w:rsid w:val="00670373"/>
    <w:rsid w:val="006703B9"/>
    <w:rsid w:val="006703C0"/>
    <w:rsid w:val="00671E07"/>
    <w:rsid w:val="006726A5"/>
    <w:rsid w:val="00672B85"/>
    <w:rsid w:val="0067340E"/>
    <w:rsid w:val="0067398B"/>
    <w:rsid w:val="006743A5"/>
    <w:rsid w:val="0067496C"/>
    <w:rsid w:val="006749BE"/>
    <w:rsid w:val="00674F2E"/>
    <w:rsid w:val="00675034"/>
    <w:rsid w:val="00675C5C"/>
    <w:rsid w:val="00675D64"/>
    <w:rsid w:val="0067687E"/>
    <w:rsid w:val="006769ED"/>
    <w:rsid w:val="006777A5"/>
    <w:rsid w:val="0068070C"/>
    <w:rsid w:val="006812A0"/>
    <w:rsid w:val="006835A2"/>
    <w:rsid w:val="00683CBD"/>
    <w:rsid w:val="00683F4A"/>
    <w:rsid w:val="006840EA"/>
    <w:rsid w:val="006844BB"/>
    <w:rsid w:val="00684C1A"/>
    <w:rsid w:val="0068501A"/>
    <w:rsid w:val="0068520D"/>
    <w:rsid w:val="006855F2"/>
    <w:rsid w:val="00686650"/>
    <w:rsid w:val="00686B10"/>
    <w:rsid w:val="00686B79"/>
    <w:rsid w:val="00687248"/>
    <w:rsid w:val="00690BAD"/>
    <w:rsid w:val="006911EC"/>
    <w:rsid w:val="00691638"/>
    <w:rsid w:val="006924CF"/>
    <w:rsid w:val="00692B40"/>
    <w:rsid w:val="006938D7"/>
    <w:rsid w:val="00694063"/>
    <w:rsid w:val="006946A6"/>
    <w:rsid w:val="006946E6"/>
    <w:rsid w:val="00694CED"/>
    <w:rsid w:val="006953D5"/>
    <w:rsid w:val="00696048"/>
    <w:rsid w:val="00696608"/>
    <w:rsid w:val="00696632"/>
    <w:rsid w:val="006977B4"/>
    <w:rsid w:val="006979D8"/>
    <w:rsid w:val="006A0509"/>
    <w:rsid w:val="006A09EC"/>
    <w:rsid w:val="006A26B2"/>
    <w:rsid w:val="006A2AED"/>
    <w:rsid w:val="006A2F47"/>
    <w:rsid w:val="006A39CE"/>
    <w:rsid w:val="006A3BBB"/>
    <w:rsid w:val="006A4412"/>
    <w:rsid w:val="006A4BE5"/>
    <w:rsid w:val="006A55A9"/>
    <w:rsid w:val="006A6364"/>
    <w:rsid w:val="006A72AF"/>
    <w:rsid w:val="006A7595"/>
    <w:rsid w:val="006A7C23"/>
    <w:rsid w:val="006B02DA"/>
    <w:rsid w:val="006B0322"/>
    <w:rsid w:val="006B1D15"/>
    <w:rsid w:val="006B1D3F"/>
    <w:rsid w:val="006B244A"/>
    <w:rsid w:val="006B5CA7"/>
    <w:rsid w:val="006B6812"/>
    <w:rsid w:val="006B6963"/>
    <w:rsid w:val="006B70AF"/>
    <w:rsid w:val="006B790B"/>
    <w:rsid w:val="006C050B"/>
    <w:rsid w:val="006C0AAD"/>
    <w:rsid w:val="006C0CC1"/>
    <w:rsid w:val="006C0DA5"/>
    <w:rsid w:val="006C14F3"/>
    <w:rsid w:val="006C18D7"/>
    <w:rsid w:val="006C1E5C"/>
    <w:rsid w:val="006C1EA9"/>
    <w:rsid w:val="006C2C6A"/>
    <w:rsid w:val="006C3278"/>
    <w:rsid w:val="006C3565"/>
    <w:rsid w:val="006C4CA7"/>
    <w:rsid w:val="006C4DFE"/>
    <w:rsid w:val="006C58AC"/>
    <w:rsid w:val="006C5CCB"/>
    <w:rsid w:val="006C5FE9"/>
    <w:rsid w:val="006C61AE"/>
    <w:rsid w:val="006C6481"/>
    <w:rsid w:val="006C6A11"/>
    <w:rsid w:val="006C6C64"/>
    <w:rsid w:val="006C6D05"/>
    <w:rsid w:val="006C785D"/>
    <w:rsid w:val="006C7C49"/>
    <w:rsid w:val="006D082B"/>
    <w:rsid w:val="006D0AD2"/>
    <w:rsid w:val="006D1B52"/>
    <w:rsid w:val="006D200A"/>
    <w:rsid w:val="006D3043"/>
    <w:rsid w:val="006D389A"/>
    <w:rsid w:val="006D38A7"/>
    <w:rsid w:val="006D3CC9"/>
    <w:rsid w:val="006D573C"/>
    <w:rsid w:val="006D6925"/>
    <w:rsid w:val="006D7EC3"/>
    <w:rsid w:val="006E0ABF"/>
    <w:rsid w:val="006E0F7F"/>
    <w:rsid w:val="006E1440"/>
    <w:rsid w:val="006E1858"/>
    <w:rsid w:val="006E243C"/>
    <w:rsid w:val="006E2FDC"/>
    <w:rsid w:val="006E309D"/>
    <w:rsid w:val="006E5723"/>
    <w:rsid w:val="006E5978"/>
    <w:rsid w:val="006E6864"/>
    <w:rsid w:val="006E6C7C"/>
    <w:rsid w:val="006E6E1E"/>
    <w:rsid w:val="006E6F84"/>
    <w:rsid w:val="006E7070"/>
    <w:rsid w:val="006E7A11"/>
    <w:rsid w:val="006E7A54"/>
    <w:rsid w:val="006F046A"/>
    <w:rsid w:val="006F0984"/>
    <w:rsid w:val="006F1E45"/>
    <w:rsid w:val="006F27C0"/>
    <w:rsid w:val="006F2E09"/>
    <w:rsid w:val="006F387A"/>
    <w:rsid w:val="006F3FC4"/>
    <w:rsid w:val="006F437E"/>
    <w:rsid w:val="006F63D6"/>
    <w:rsid w:val="006F69A5"/>
    <w:rsid w:val="006F7B53"/>
    <w:rsid w:val="0070055A"/>
    <w:rsid w:val="00700A2E"/>
    <w:rsid w:val="00700D56"/>
    <w:rsid w:val="00700E15"/>
    <w:rsid w:val="0070211D"/>
    <w:rsid w:val="00702563"/>
    <w:rsid w:val="0070478A"/>
    <w:rsid w:val="00704886"/>
    <w:rsid w:val="00704C6D"/>
    <w:rsid w:val="00705751"/>
    <w:rsid w:val="00706715"/>
    <w:rsid w:val="00706838"/>
    <w:rsid w:val="00706E2B"/>
    <w:rsid w:val="00707F85"/>
    <w:rsid w:val="007113A1"/>
    <w:rsid w:val="0071191B"/>
    <w:rsid w:val="00712049"/>
    <w:rsid w:val="00712325"/>
    <w:rsid w:val="00712AFB"/>
    <w:rsid w:val="00713F1E"/>
    <w:rsid w:val="007145A7"/>
    <w:rsid w:val="0071542C"/>
    <w:rsid w:val="007169AB"/>
    <w:rsid w:val="00716CFF"/>
    <w:rsid w:val="00716D15"/>
    <w:rsid w:val="007170F4"/>
    <w:rsid w:val="007178BE"/>
    <w:rsid w:val="00720FDD"/>
    <w:rsid w:val="007236C4"/>
    <w:rsid w:val="0072427C"/>
    <w:rsid w:val="0072441F"/>
    <w:rsid w:val="007248FF"/>
    <w:rsid w:val="00724C79"/>
    <w:rsid w:val="00724F8C"/>
    <w:rsid w:val="00725278"/>
    <w:rsid w:val="00725CB2"/>
    <w:rsid w:val="00726240"/>
    <w:rsid w:val="007263FC"/>
    <w:rsid w:val="0073034C"/>
    <w:rsid w:val="00732EA3"/>
    <w:rsid w:val="00734115"/>
    <w:rsid w:val="00734DCD"/>
    <w:rsid w:val="007352DD"/>
    <w:rsid w:val="00737CB9"/>
    <w:rsid w:val="00740A8A"/>
    <w:rsid w:val="00740BEA"/>
    <w:rsid w:val="0074109B"/>
    <w:rsid w:val="007415BD"/>
    <w:rsid w:val="00742ACA"/>
    <w:rsid w:val="00742C19"/>
    <w:rsid w:val="00743563"/>
    <w:rsid w:val="00746165"/>
    <w:rsid w:val="007467E7"/>
    <w:rsid w:val="00747499"/>
    <w:rsid w:val="00750207"/>
    <w:rsid w:val="007506C9"/>
    <w:rsid w:val="00750E8A"/>
    <w:rsid w:val="007528A7"/>
    <w:rsid w:val="0075292C"/>
    <w:rsid w:val="0075421B"/>
    <w:rsid w:val="00754588"/>
    <w:rsid w:val="007550E5"/>
    <w:rsid w:val="007559B3"/>
    <w:rsid w:val="00755AB2"/>
    <w:rsid w:val="0075686E"/>
    <w:rsid w:val="00757615"/>
    <w:rsid w:val="0075780D"/>
    <w:rsid w:val="00760B45"/>
    <w:rsid w:val="007613F6"/>
    <w:rsid w:val="007618A8"/>
    <w:rsid w:val="00762085"/>
    <w:rsid w:val="00762F0C"/>
    <w:rsid w:val="00765142"/>
    <w:rsid w:val="007652D4"/>
    <w:rsid w:val="00765E4A"/>
    <w:rsid w:val="00766896"/>
    <w:rsid w:val="00766F1B"/>
    <w:rsid w:val="00773510"/>
    <w:rsid w:val="0077489E"/>
    <w:rsid w:val="00774F67"/>
    <w:rsid w:val="00775081"/>
    <w:rsid w:val="00775335"/>
    <w:rsid w:val="00775B14"/>
    <w:rsid w:val="0077612E"/>
    <w:rsid w:val="00777883"/>
    <w:rsid w:val="007800EB"/>
    <w:rsid w:val="0078086B"/>
    <w:rsid w:val="00780BCF"/>
    <w:rsid w:val="007816C1"/>
    <w:rsid w:val="00781B73"/>
    <w:rsid w:val="00781E35"/>
    <w:rsid w:val="00783C1A"/>
    <w:rsid w:val="007844D9"/>
    <w:rsid w:val="00784CA1"/>
    <w:rsid w:val="00785064"/>
    <w:rsid w:val="00785182"/>
    <w:rsid w:val="0078563B"/>
    <w:rsid w:val="0078696B"/>
    <w:rsid w:val="00787024"/>
    <w:rsid w:val="00790087"/>
    <w:rsid w:val="0079040E"/>
    <w:rsid w:val="0079045C"/>
    <w:rsid w:val="00790EEB"/>
    <w:rsid w:val="00791547"/>
    <w:rsid w:val="0079157B"/>
    <w:rsid w:val="00791851"/>
    <w:rsid w:val="00791943"/>
    <w:rsid w:val="007921C9"/>
    <w:rsid w:val="00792BA4"/>
    <w:rsid w:val="00792D9D"/>
    <w:rsid w:val="007936D3"/>
    <w:rsid w:val="007938A9"/>
    <w:rsid w:val="00794730"/>
    <w:rsid w:val="007949D2"/>
    <w:rsid w:val="00795E56"/>
    <w:rsid w:val="00796593"/>
    <w:rsid w:val="00797210"/>
    <w:rsid w:val="007A120F"/>
    <w:rsid w:val="007A2AB7"/>
    <w:rsid w:val="007A2E7A"/>
    <w:rsid w:val="007A3AA6"/>
    <w:rsid w:val="007A4B2D"/>
    <w:rsid w:val="007A55CF"/>
    <w:rsid w:val="007A5719"/>
    <w:rsid w:val="007A67B0"/>
    <w:rsid w:val="007A703B"/>
    <w:rsid w:val="007A77F3"/>
    <w:rsid w:val="007A7F7B"/>
    <w:rsid w:val="007B0CCB"/>
    <w:rsid w:val="007B0F0C"/>
    <w:rsid w:val="007B2068"/>
    <w:rsid w:val="007B2779"/>
    <w:rsid w:val="007B2AAC"/>
    <w:rsid w:val="007B337B"/>
    <w:rsid w:val="007B3F9E"/>
    <w:rsid w:val="007B4BB9"/>
    <w:rsid w:val="007B6071"/>
    <w:rsid w:val="007B6504"/>
    <w:rsid w:val="007B651E"/>
    <w:rsid w:val="007B70BF"/>
    <w:rsid w:val="007C11B2"/>
    <w:rsid w:val="007C13F0"/>
    <w:rsid w:val="007C27A5"/>
    <w:rsid w:val="007C35C6"/>
    <w:rsid w:val="007C3801"/>
    <w:rsid w:val="007C3C56"/>
    <w:rsid w:val="007C5E3B"/>
    <w:rsid w:val="007C791F"/>
    <w:rsid w:val="007C7C17"/>
    <w:rsid w:val="007C7C3D"/>
    <w:rsid w:val="007D021B"/>
    <w:rsid w:val="007D1D03"/>
    <w:rsid w:val="007D39E7"/>
    <w:rsid w:val="007D3F44"/>
    <w:rsid w:val="007D4E51"/>
    <w:rsid w:val="007D584E"/>
    <w:rsid w:val="007D6431"/>
    <w:rsid w:val="007D6536"/>
    <w:rsid w:val="007D6B2D"/>
    <w:rsid w:val="007D7304"/>
    <w:rsid w:val="007E1A9B"/>
    <w:rsid w:val="007E1EF4"/>
    <w:rsid w:val="007E2042"/>
    <w:rsid w:val="007E36B7"/>
    <w:rsid w:val="007E3803"/>
    <w:rsid w:val="007E469D"/>
    <w:rsid w:val="007E566C"/>
    <w:rsid w:val="007E57EB"/>
    <w:rsid w:val="007E6939"/>
    <w:rsid w:val="007E6BDE"/>
    <w:rsid w:val="007E6C02"/>
    <w:rsid w:val="007E6D05"/>
    <w:rsid w:val="007E6F68"/>
    <w:rsid w:val="007E7060"/>
    <w:rsid w:val="007E7189"/>
    <w:rsid w:val="007E725F"/>
    <w:rsid w:val="007F13C6"/>
    <w:rsid w:val="007F1947"/>
    <w:rsid w:val="007F1E7E"/>
    <w:rsid w:val="007F2942"/>
    <w:rsid w:val="007F4B77"/>
    <w:rsid w:val="007F591C"/>
    <w:rsid w:val="008007B6"/>
    <w:rsid w:val="008015C1"/>
    <w:rsid w:val="008025D0"/>
    <w:rsid w:val="00803322"/>
    <w:rsid w:val="008035FF"/>
    <w:rsid w:val="00803644"/>
    <w:rsid w:val="0080383A"/>
    <w:rsid w:val="00806BB0"/>
    <w:rsid w:val="00810818"/>
    <w:rsid w:val="00810FEE"/>
    <w:rsid w:val="008111E8"/>
    <w:rsid w:val="00812517"/>
    <w:rsid w:val="00814A50"/>
    <w:rsid w:val="00815630"/>
    <w:rsid w:val="00815A7A"/>
    <w:rsid w:val="00815CC5"/>
    <w:rsid w:val="00815F56"/>
    <w:rsid w:val="00816AD7"/>
    <w:rsid w:val="00816E51"/>
    <w:rsid w:val="00822D4B"/>
    <w:rsid w:val="0082386D"/>
    <w:rsid w:val="00824C36"/>
    <w:rsid w:val="00824FEC"/>
    <w:rsid w:val="00826E81"/>
    <w:rsid w:val="00827600"/>
    <w:rsid w:val="00827699"/>
    <w:rsid w:val="00830F1F"/>
    <w:rsid w:val="00831030"/>
    <w:rsid w:val="0083129C"/>
    <w:rsid w:val="00831FFB"/>
    <w:rsid w:val="008326AA"/>
    <w:rsid w:val="00833254"/>
    <w:rsid w:val="008339C1"/>
    <w:rsid w:val="00833B89"/>
    <w:rsid w:val="0083470F"/>
    <w:rsid w:val="0083613E"/>
    <w:rsid w:val="008363BD"/>
    <w:rsid w:val="00840BF1"/>
    <w:rsid w:val="00841CDA"/>
    <w:rsid w:val="0084256C"/>
    <w:rsid w:val="00842B2D"/>
    <w:rsid w:val="00842C78"/>
    <w:rsid w:val="00843081"/>
    <w:rsid w:val="00843D94"/>
    <w:rsid w:val="008441F1"/>
    <w:rsid w:val="00845881"/>
    <w:rsid w:val="0084723D"/>
    <w:rsid w:val="0084755E"/>
    <w:rsid w:val="008475D9"/>
    <w:rsid w:val="008476F7"/>
    <w:rsid w:val="00850DAB"/>
    <w:rsid w:val="00852797"/>
    <w:rsid w:val="008549D6"/>
    <w:rsid w:val="0085684F"/>
    <w:rsid w:val="00856D5A"/>
    <w:rsid w:val="00860217"/>
    <w:rsid w:val="008606D7"/>
    <w:rsid w:val="00861865"/>
    <w:rsid w:val="00862464"/>
    <w:rsid w:val="00864DA1"/>
    <w:rsid w:val="008665FA"/>
    <w:rsid w:val="00867759"/>
    <w:rsid w:val="00870D61"/>
    <w:rsid w:val="00871CD2"/>
    <w:rsid w:val="00871CFD"/>
    <w:rsid w:val="00872182"/>
    <w:rsid w:val="0087271C"/>
    <w:rsid w:val="0087287D"/>
    <w:rsid w:val="00872BF1"/>
    <w:rsid w:val="0087310E"/>
    <w:rsid w:val="008731C7"/>
    <w:rsid w:val="00873B5F"/>
    <w:rsid w:val="008748B4"/>
    <w:rsid w:val="0087530A"/>
    <w:rsid w:val="0088082A"/>
    <w:rsid w:val="00880BB4"/>
    <w:rsid w:val="00880F83"/>
    <w:rsid w:val="00880FC6"/>
    <w:rsid w:val="0088129F"/>
    <w:rsid w:val="008823CB"/>
    <w:rsid w:val="00882571"/>
    <w:rsid w:val="00882E12"/>
    <w:rsid w:val="00883A87"/>
    <w:rsid w:val="00883B79"/>
    <w:rsid w:val="00883CAE"/>
    <w:rsid w:val="008852C1"/>
    <w:rsid w:val="008858B1"/>
    <w:rsid w:val="00885B4C"/>
    <w:rsid w:val="00886490"/>
    <w:rsid w:val="00886915"/>
    <w:rsid w:val="00886B0C"/>
    <w:rsid w:val="00887702"/>
    <w:rsid w:val="00891094"/>
    <w:rsid w:val="008914E9"/>
    <w:rsid w:val="00892C63"/>
    <w:rsid w:val="00892E8E"/>
    <w:rsid w:val="00893311"/>
    <w:rsid w:val="0089348C"/>
    <w:rsid w:val="008951B0"/>
    <w:rsid w:val="00895380"/>
    <w:rsid w:val="00896201"/>
    <w:rsid w:val="008968E9"/>
    <w:rsid w:val="008A0805"/>
    <w:rsid w:val="008A18F8"/>
    <w:rsid w:val="008A1972"/>
    <w:rsid w:val="008A3EB5"/>
    <w:rsid w:val="008A4661"/>
    <w:rsid w:val="008A4962"/>
    <w:rsid w:val="008A52C8"/>
    <w:rsid w:val="008A66AA"/>
    <w:rsid w:val="008B008E"/>
    <w:rsid w:val="008B05CE"/>
    <w:rsid w:val="008B0632"/>
    <w:rsid w:val="008B11E9"/>
    <w:rsid w:val="008B2D34"/>
    <w:rsid w:val="008B2FAD"/>
    <w:rsid w:val="008B3733"/>
    <w:rsid w:val="008B3E19"/>
    <w:rsid w:val="008B4B8D"/>
    <w:rsid w:val="008B5994"/>
    <w:rsid w:val="008B5A0F"/>
    <w:rsid w:val="008B5AC4"/>
    <w:rsid w:val="008B5B75"/>
    <w:rsid w:val="008B77BD"/>
    <w:rsid w:val="008C0584"/>
    <w:rsid w:val="008C14BD"/>
    <w:rsid w:val="008C1C60"/>
    <w:rsid w:val="008C2831"/>
    <w:rsid w:val="008C359F"/>
    <w:rsid w:val="008C5B39"/>
    <w:rsid w:val="008C70B8"/>
    <w:rsid w:val="008C70C5"/>
    <w:rsid w:val="008C7313"/>
    <w:rsid w:val="008D0E1B"/>
    <w:rsid w:val="008D28BD"/>
    <w:rsid w:val="008D5723"/>
    <w:rsid w:val="008D5FDE"/>
    <w:rsid w:val="008D6D6F"/>
    <w:rsid w:val="008D7059"/>
    <w:rsid w:val="008E28B7"/>
    <w:rsid w:val="008E2CD7"/>
    <w:rsid w:val="008E3C99"/>
    <w:rsid w:val="008E5893"/>
    <w:rsid w:val="008E59B9"/>
    <w:rsid w:val="008E6937"/>
    <w:rsid w:val="008E6B9C"/>
    <w:rsid w:val="008E7310"/>
    <w:rsid w:val="008F0E35"/>
    <w:rsid w:val="008F1139"/>
    <w:rsid w:val="008F1E8E"/>
    <w:rsid w:val="008F2145"/>
    <w:rsid w:val="008F291D"/>
    <w:rsid w:val="008F2956"/>
    <w:rsid w:val="008F312F"/>
    <w:rsid w:val="008F3311"/>
    <w:rsid w:val="008F3551"/>
    <w:rsid w:val="008F40E2"/>
    <w:rsid w:val="008F48CE"/>
    <w:rsid w:val="008F52E6"/>
    <w:rsid w:val="008F58AB"/>
    <w:rsid w:val="008F602D"/>
    <w:rsid w:val="008F7C6D"/>
    <w:rsid w:val="0090124B"/>
    <w:rsid w:val="00902E33"/>
    <w:rsid w:val="00903FB9"/>
    <w:rsid w:val="009053F0"/>
    <w:rsid w:val="00905C9A"/>
    <w:rsid w:val="00907509"/>
    <w:rsid w:val="0091000B"/>
    <w:rsid w:val="009117F4"/>
    <w:rsid w:val="009125D2"/>
    <w:rsid w:val="009126AF"/>
    <w:rsid w:val="00913933"/>
    <w:rsid w:val="00914049"/>
    <w:rsid w:val="009143BC"/>
    <w:rsid w:val="009166CB"/>
    <w:rsid w:val="00917243"/>
    <w:rsid w:val="009216C7"/>
    <w:rsid w:val="0092342D"/>
    <w:rsid w:val="009240E4"/>
    <w:rsid w:val="00924810"/>
    <w:rsid w:val="00925158"/>
    <w:rsid w:val="00926F08"/>
    <w:rsid w:val="00926FC3"/>
    <w:rsid w:val="00927D61"/>
    <w:rsid w:val="00930EE5"/>
    <w:rsid w:val="0093174D"/>
    <w:rsid w:val="0093303F"/>
    <w:rsid w:val="0093567D"/>
    <w:rsid w:val="00935968"/>
    <w:rsid w:val="009361D2"/>
    <w:rsid w:val="00937B09"/>
    <w:rsid w:val="00937B23"/>
    <w:rsid w:val="00937F18"/>
    <w:rsid w:val="00937FAE"/>
    <w:rsid w:val="00941594"/>
    <w:rsid w:val="009416D8"/>
    <w:rsid w:val="00945910"/>
    <w:rsid w:val="00946E75"/>
    <w:rsid w:val="00946FD3"/>
    <w:rsid w:val="009501A3"/>
    <w:rsid w:val="00950612"/>
    <w:rsid w:val="00950D55"/>
    <w:rsid w:val="00950FC5"/>
    <w:rsid w:val="00951672"/>
    <w:rsid w:val="00952C20"/>
    <w:rsid w:val="00952FB7"/>
    <w:rsid w:val="009530C1"/>
    <w:rsid w:val="00953CCF"/>
    <w:rsid w:val="009542DD"/>
    <w:rsid w:val="00954B64"/>
    <w:rsid w:val="00954DD5"/>
    <w:rsid w:val="0095568A"/>
    <w:rsid w:val="00956213"/>
    <w:rsid w:val="0095788B"/>
    <w:rsid w:val="00957C47"/>
    <w:rsid w:val="009605D1"/>
    <w:rsid w:val="00961119"/>
    <w:rsid w:val="0096302B"/>
    <w:rsid w:val="00963DD5"/>
    <w:rsid w:val="00963E53"/>
    <w:rsid w:val="0096662A"/>
    <w:rsid w:val="0096741F"/>
    <w:rsid w:val="00971701"/>
    <w:rsid w:val="009722FE"/>
    <w:rsid w:val="00972841"/>
    <w:rsid w:val="00972CA9"/>
    <w:rsid w:val="0097381E"/>
    <w:rsid w:val="009740A5"/>
    <w:rsid w:val="00974C03"/>
    <w:rsid w:val="0097511C"/>
    <w:rsid w:val="00975D12"/>
    <w:rsid w:val="00976DCB"/>
    <w:rsid w:val="00977646"/>
    <w:rsid w:val="0098009A"/>
    <w:rsid w:val="009806CB"/>
    <w:rsid w:val="00980913"/>
    <w:rsid w:val="00980B47"/>
    <w:rsid w:val="00981458"/>
    <w:rsid w:val="00981CD4"/>
    <w:rsid w:val="0098200F"/>
    <w:rsid w:val="0098208B"/>
    <w:rsid w:val="009820C8"/>
    <w:rsid w:val="00982317"/>
    <w:rsid w:val="0098233A"/>
    <w:rsid w:val="009824DC"/>
    <w:rsid w:val="009826AE"/>
    <w:rsid w:val="009830ED"/>
    <w:rsid w:val="00983C18"/>
    <w:rsid w:val="009863C0"/>
    <w:rsid w:val="00986DC6"/>
    <w:rsid w:val="009874F3"/>
    <w:rsid w:val="009901D9"/>
    <w:rsid w:val="009907F2"/>
    <w:rsid w:val="00990BFC"/>
    <w:rsid w:val="00990D36"/>
    <w:rsid w:val="00991EC1"/>
    <w:rsid w:val="00991ED5"/>
    <w:rsid w:val="00992274"/>
    <w:rsid w:val="00994B40"/>
    <w:rsid w:val="009953BF"/>
    <w:rsid w:val="009954B8"/>
    <w:rsid w:val="00995A37"/>
    <w:rsid w:val="0099608C"/>
    <w:rsid w:val="00996E78"/>
    <w:rsid w:val="00997A23"/>
    <w:rsid w:val="009A0257"/>
    <w:rsid w:val="009A0316"/>
    <w:rsid w:val="009A0E67"/>
    <w:rsid w:val="009A1CE7"/>
    <w:rsid w:val="009A26C9"/>
    <w:rsid w:val="009A27FD"/>
    <w:rsid w:val="009A30ED"/>
    <w:rsid w:val="009A3E22"/>
    <w:rsid w:val="009A603B"/>
    <w:rsid w:val="009A6E68"/>
    <w:rsid w:val="009A6FB3"/>
    <w:rsid w:val="009A7A77"/>
    <w:rsid w:val="009B1639"/>
    <w:rsid w:val="009B181A"/>
    <w:rsid w:val="009B2235"/>
    <w:rsid w:val="009B2B92"/>
    <w:rsid w:val="009B391E"/>
    <w:rsid w:val="009B3C13"/>
    <w:rsid w:val="009B43FF"/>
    <w:rsid w:val="009B59CD"/>
    <w:rsid w:val="009B7E03"/>
    <w:rsid w:val="009C1017"/>
    <w:rsid w:val="009C23F5"/>
    <w:rsid w:val="009C3114"/>
    <w:rsid w:val="009C3B30"/>
    <w:rsid w:val="009C5EDA"/>
    <w:rsid w:val="009C66F1"/>
    <w:rsid w:val="009C70DB"/>
    <w:rsid w:val="009D0004"/>
    <w:rsid w:val="009D066F"/>
    <w:rsid w:val="009D0B34"/>
    <w:rsid w:val="009D10E0"/>
    <w:rsid w:val="009D13F1"/>
    <w:rsid w:val="009D1B34"/>
    <w:rsid w:val="009D50A8"/>
    <w:rsid w:val="009D5276"/>
    <w:rsid w:val="009D63C0"/>
    <w:rsid w:val="009D6763"/>
    <w:rsid w:val="009D7198"/>
    <w:rsid w:val="009D75E9"/>
    <w:rsid w:val="009E1C1D"/>
    <w:rsid w:val="009E215C"/>
    <w:rsid w:val="009E3F6C"/>
    <w:rsid w:val="009E4BF1"/>
    <w:rsid w:val="009E5B89"/>
    <w:rsid w:val="009E7C3F"/>
    <w:rsid w:val="009F0796"/>
    <w:rsid w:val="009F0B22"/>
    <w:rsid w:val="009F111C"/>
    <w:rsid w:val="009F11AD"/>
    <w:rsid w:val="009F20AB"/>
    <w:rsid w:val="009F439E"/>
    <w:rsid w:val="009F43C7"/>
    <w:rsid w:val="009F49F8"/>
    <w:rsid w:val="009F4D0E"/>
    <w:rsid w:val="009F510F"/>
    <w:rsid w:val="009F64C9"/>
    <w:rsid w:val="009F67F7"/>
    <w:rsid w:val="009F699E"/>
    <w:rsid w:val="009F6A4F"/>
    <w:rsid w:val="00A0045A"/>
    <w:rsid w:val="00A006D1"/>
    <w:rsid w:val="00A0331C"/>
    <w:rsid w:val="00A04128"/>
    <w:rsid w:val="00A0428E"/>
    <w:rsid w:val="00A0463C"/>
    <w:rsid w:val="00A056E7"/>
    <w:rsid w:val="00A0584D"/>
    <w:rsid w:val="00A061C2"/>
    <w:rsid w:val="00A06781"/>
    <w:rsid w:val="00A10CEE"/>
    <w:rsid w:val="00A118F7"/>
    <w:rsid w:val="00A11A8A"/>
    <w:rsid w:val="00A11C09"/>
    <w:rsid w:val="00A11CD2"/>
    <w:rsid w:val="00A12262"/>
    <w:rsid w:val="00A12385"/>
    <w:rsid w:val="00A146FF"/>
    <w:rsid w:val="00A169E9"/>
    <w:rsid w:val="00A16EBF"/>
    <w:rsid w:val="00A170F7"/>
    <w:rsid w:val="00A17362"/>
    <w:rsid w:val="00A17F85"/>
    <w:rsid w:val="00A20AF1"/>
    <w:rsid w:val="00A221B4"/>
    <w:rsid w:val="00A22BE3"/>
    <w:rsid w:val="00A25182"/>
    <w:rsid w:val="00A256CA"/>
    <w:rsid w:val="00A25A6B"/>
    <w:rsid w:val="00A26873"/>
    <w:rsid w:val="00A26EA7"/>
    <w:rsid w:val="00A30C9D"/>
    <w:rsid w:val="00A31F0B"/>
    <w:rsid w:val="00A32470"/>
    <w:rsid w:val="00A32FFE"/>
    <w:rsid w:val="00A3322B"/>
    <w:rsid w:val="00A348CE"/>
    <w:rsid w:val="00A353F5"/>
    <w:rsid w:val="00A35645"/>
    <w:rsid w:val="00A35D60"/>
    <w:rsid w:val="00A3654A"/>
    <w:rsid w:val="00A36E42"/>
    <w:rsid w:val="00A414E5"/>
    <w:rsid w:val="00A42E78"/>
    <w:rsid w:val="00A45E0A"/>
    <w:rsid w:val="00A46FBF"/>
    <w:rsid w:val="00A47671"/>
    <w:rsid w:val="00A4784E"/>
    <w:rsid w:val="00A5123A"/>
    <w:rsid w:val="00A5124D"/>
    <w:rsid w:val="00A51CDC"/>
    <w:rsid w:val="00A5211E"/>
    <w:rsid w:val="00A527BF"/>
    <w:rsid w:val="00A52C1B"/>
    <w:rsid w:val="00A52E5C"/>
    <w:rsid w:val="00A52F06"/>
    <w:rsid w:val="00A546CC"/>
    <w:rsid w:val="00A5578A"/>
    <w:rsid w:val="00A5607C"/>
    <w:rsid w:val="00A562BF"/>
    <w:rsid w:val="00A5683E"/>
    <w:rsid w:val="00A56984"/>
    <w:rsid w:val="00A5763F"/>
    <w:rsid w:val="00A57AE4"/>
    <w:rsid w:val="00A60126"/>
    <w:rsid w:val="00A601B5"/>
    <w:rsid w:val="00A61F82"/>
    <w:rsid w:val="00A6201F"/>
    <w:rsid w:val="00A66141"/>
    <w:rsid w:val="00A668AF"/>
    <w:rsid w:val="00A66F04"/>
    <w:rsid w:val="00A704C8"/>
    <w:rsid w:val="00A712D4"/>
    <w:rsid w:val="00A714D8"/>
    <w:rsid w:val="00A715B8"/>
    <w:rsid w:val="00A719BF"/>
    <w:rsid w:val="00A73199"/>
    <w:rsid w:val="00A73363"/>
    <w:rsid w:val="00A73699"/>
    <w:rsid w:val="00A75822"/>
    <w:rsid w:val="00A76819"/>
    <w:rsid w:val="00A76DF0"/>
    <w:rsid w:val="00A76F6E"/>
    <w:rsid w:val="00A77150"/>
    <w:rsid w:val="00A7774C"/>
    <w:rsid w:val="00A818C6"/>
    <w:rsid w:val="00A820F5"/>
    <w:rsid w:val="00A8274C"/>
    <w:rsid w:val="00A83149"/>
    <w:rsid w:val="00A83B7F"/>
    <w:rsid w:val="00A8470B"/>
    <w:rsid w:val="00A84ABB"/>
    <w:rsid w:val="00A85BFC"/>
    <w:rsid w:val="00A870B8"/>
    <w:rsid w:val="00A871E4"/>
    <w:rsid w:val="00A91AC0"/>
    <w:rsid w:val="00A92E37"/>
    <w:rsid w:val="00A931D3"/>
    <w:rsid w:val="00A94AD6"/>
    <w:rsid w:val="00A94F60"/>
    <w:rsid w:val="00A954CA"/>
    <w:rsid w:val="00A957E1"/>
    <w:rsid w:val="00A95B0E"/>
    <w:rsid w:val="00A971AE"/>
    <w:rsid w:val="00AA065D"/>
    <w:rsid w:val="00AA0E4C"/>
    <w:rsid w:val="00AA0F3B"/>
    <w:rsid w:val="00AA161E"/>
    <w:rsid w:val="00AA284F"/>
    <w:rsid w:val="00AA2FBA"/>
    <w:rsid w:val="00AA4D28"/>
    <w:rsid w:val="00AA545D"/>
    <w:rsid w:val="00AA5E7D"/>
    <w:rsid w:val="00AA6113"/>
    <w:rsid w:val="00AA619B"/>
    <w:rsid w:val="00AB04D4"/>
    <w:rsid w:val="00AB0FC9"/>
    <w:rsid w:val="00AB2323"/>
    <w:rsid w:val="00AB455B"/>
    <w:rsid w:val="00AB4AC6"/>
    <w:rsid w:val="00AB5A75"/>
    <w:rsid w:val="00AB75D8"/>
    <w:rsid w:val="00AB7735"/>
    <w:rsid w:val="00AC0500"/>
    <w:rsid w:val="00AC0F8C"/>
    <w:rsid w:val="00AC11DD"/>
    <w:rsid w:val="00AC2677"/>
    <w:rsid w:val="00AC2A4F"/>
    <w:rsid w:val="00AC3025"/>
    <w:rsid w:val="00AC4185"/>
    <w:rsid w:val="00AC4351"/>
    <w:rsid w:val="00AC4F50"/>
    <w:rsid w:val="00AC5101"/>
    <w:rsid w:val="00AC7039"/>
    <w:rsid w:val="00AC7654"/>
    <w:rsid w:val="00AD027B"/>
    <w:rsid w:val="00AD05AA"/>
    <w:rsid w:val="00AD11E1"/>
    <w:rsid w:val="00AD2539"/>
    <w:rsid w:val="00AD2ABD"/>
    <w:rsid w:val="00AD2E52"/>
    <w:rsid w:val="00AD3687"/>
    <w:rsid w:val="00AD434E"/>
    <w:rsid w:val="00AD624B"/>
    <w:rsid w:val="00AD66C4"/>
    <w:rsid w:val="00AD6BF3"/>
    <w:rsid w:val="00AD7E3D"/>
    <w:rsid w:val="00AE1A01"/>
    <w:rsid w:val="00AE2B85"/>
    <w:rsid w:val="00AE33CB"/>
    <w:rsid w:val="00AE4147"/>
    <w:rsid w:val="00AE45A1"/>
    <w:rsid w:val="00AE45EC"/>
    <w:rsid w:val="00AE4BCB"/>
    <w:rsid w:val="00AE4D36"/>
    <w:rsid w:val="00AE4E43"/>
    <w:rsid w:val="00AE4E69"/>
    <w:rsid w:val="00AE5A5F"/>
    <w:rsid w:val="00AE6412"/>
    <w:rsid w:val="00AE7336"/>
    <w:rsid w:val="00AE74B6"/>
    <w:rsid w:val="00AE7FD8"/>
    <w:rsid w:val="00AF067A"/>
    <w:rsid w:val="00AF0FF6"/>
    <w:rsid w:val="00AF1E7F"/>
    <w:rsid w:val="00AF289C"/>
    <w:rsid w:val="00AF2BF2"/>
    <w:rsid w:val="00AF3FAD"/>
    <w:rsid w:val="00AF4A4F"/>
    <w:rsid w:val="00AF5347"/>
    <w:rsid w:val="00AF5494"/>
    <w:rsid w:val="00AF5E1F"/>
    <w:rsid w:val="00B0134F"/>
    <w:rsid w:val="00B015CD"/>
    <w:rsid w:val="00B024DE"/>
    <w:rsid w:val="00B024EA"/>
    <w:rsid w:val="00B0294E"/>
    <w:rsid w:val="00B02CB8"/>
    <w:rsid w:val="00B04AA7"/>
    <w:rsid w:val="00B04E40"/>
    <w:rsid w:val="00B05702"/>
    <w:rsid w:val="00B066BB"/>
    <w:rsid w:val="00B07648"/>
    <w:rsid w:val="00B10ACF"/>
    <w:rsid w:val="00B10B47"/>
    <w:rsid w:val="00B10F42"/>
    <w:rsid w:val="00B11C37"/>
    <w:rsid w:val="00B15539"/>
    <w:rsid w:val="00B157D9"/>
    <w:rsid w:val="00B15CAB"/>
    <w:rsid w:val="00B16460"/>
    <w:rsid w:val="00B16C53"/>
    <w:rsid w:val="00B17A9C"/>
    <w:rsid w:val="00B17C78"/>
    <w:rsid w:val="00B20874"/>
    <w:rsid w:val="00B222ED"/>
    <w:rsid w:val="00B230EE"/>
    <w:rsid w:val="00B23341"/>
    <w:rsid w:val="00B2336D"/>
    <w:rsid w:val="00B2466D"/>
    <w:rsid w:val="00B258F7"/>
    <w:rsid w:val="00B27293"/>
    <w:rsid w:val="00B272BF"/>
    <w:rsid w:val="00B27381"/>
    <w:rsid w:val="00B30A34"/>
    <w:rsid w:val="00B31142"/>
    <w:rsid w:val="00B31BDD"/>
    <w:rsid w:val="00B333A5"/>
    <w:rsid w:val="00B3468F"/>
    <w:rsid w:val="00B34BAC"/>
    <w:rsid w:val="00B35B95"/>
    <w:rsid w:val="00B42311"/>
    <w:rsid w:val="00B4291F"/>
    <w:rsid w:val="00B434A4"/>
    <w:rsid w:val="00B43DA5"/>
    <w:rsid w:val="00B43FB3"/>
    <w:rsid w:val="00B4474E"/>
    <w:rsid w:val="00B464B7"/>
    <w:rsid w:val="00B4676B"/>
    <w:rsid w:val="00B46AEC"/>
    <w:rsid w:val="00B47865"/>
    <w:rsid w:val="00B50373"/>
    <w:rsid w:val="00B507E6"/>
    <w:rsid w:val="00B52BCF"/>
    <w:rsid w:val="00B55006"/>
    <w:rsid w:val="00B551E2"/>
    <w:rsid w:val="00B55220"/>
    <w:rsid w:val="00B5582B"/>
    <w:rsid w:val="00B55F92"/>
    <w:rsid w:val="00B5611A"/>
    <w:rsid w:val="00B57266"/>
    <w:rsid w:val="00B572AE"/>
    <w:rsid w:val="00B57311"/>
    <w:rsid w:val="00B57437"/>
    <w:rsid w:val="00B57878"/>
    <w:rsid w:val="00B60076"/>
    <w:rsid w:val="00B604FA"/>
    <w:rsid w:val="00B60D7E"/>
    <w:rsid w:val="00B62B5A"/>
    <w:rsid w:val="00B63857"/>
    <w:rsid w:val="00B64274"/>
    <w:rsid w:val="00B649B5"/>
    <w:rsid w:val="00B6572D"/>
    <w:rsid w:val="00B669CB"/>
    <w:rsid w:val="00B67402"/>
    <w:rsid w:val="00B67D22"/>
    <w:rsid w:val="00B710B3"/>
    <w:rsid w:val="00B716F2"/>
    <w:rsid w:val="00B71703"/>
    <w:rsid w:val="00B71C34"/>
    <w:rsid w:val="00B72A73"/>
    <w:rsid w:val="00B731A4"/>
    <w:rsid w:val="00B73F0B"/>
    <w:rsid w:val="00B754A8"/>
    <w:rsid w:val="00B77191"/>
    <w:rsid w:val="00B772CE"/>
    <w:rsid w:val="00B77826"/>
    <w:rsid w:val="00B77DF8"/>
    <w:rsid w:val="00B81495"/>
    <w:rsid w:val="00B81B6C"/>
    <w:rsid w:val="00B828E1"/>
    <w:rsid w:val="00B838B1"/>
    <w:rsid w:val="00B83F17"/>
    <w:rsid w:val="00B86937"/>
    <w:rsid w:val="00B87FD8"/>
    <w:rsid w:val="00B9100B"/>
    <w:rsid w:val="00B91D3E"/>
    <w:rsid w:val="00B936BD"/>
    <w:rsid w:val="00B945B2"/>
    <w:rsid w:val="00B94880"/>
    <w:rsid w:val="00B94B7F"/>
    <w:rsid w:val="00B962EC"/>
    <w:rsid w:val="00B969CB"/>
    <w:rsid w:val="00B9704D"/>
    <w:rsid w:val="00B97511"/>
    <w:rsid w:val="00B97A14"/>
    <w:rsid w:val="00BA02A9"/>
    <w:rsid w:val="00BA0C21"/>
    <w:rsid w:val="00BA174A"/>
    <w:rsid w:val="00BA1848"/>
    <w:rsid w:val="00BA203E"/>
    <w:rsid w:val="00BA5358"/>
    <w:rsid w:val="00BA5717"/>
    <w:rsid w:val="00BA6734"/>
    <w:rsid w:val="00BA78F7"/>
    <w:rsid w:val="00BA7C45"/>
    <w:rsid w:val="00BA7D6A"/>
    <w:rsid w:val="00BB0CF1"/>
    <w:rsid w:val="00BB18E6"/>
    <w:rsid w:val="00BB1DB6"/>
    <w:rsid w:val="00BB22CC"/>
    <w:rsid w:val="00BB2683"/>
    <w:rsid w:val="00BB291F"/>
    <w:rsid w:val="00BB4941"/>
    <w:rsid w:val="00BB4C6D"/>
    <w:rsid w:val="00BB50AE"/>
    <w:rsid w:val="00BB5B62"/>
    <w:rsid w:val="00BB5C1C"/>
    <w:rsid w:val="00BB5F5E"/>
    <w:rsid w:val="00BB761F"/>
    <w:rsid w:val="00BB7676"/>
    <w:rsid w:val="00BC04A7"/>
    <w:rsid w:val="00BC0585"/>
    <w:rsid w:val="00BC213D"/>
    <w:rsid w:val="00BC43D9"/>
    <w:rsid w:val="00BC5057"/>
    <w:rsid w:val="00BC558D"/>
    <w:rsid w:val="00BC569A"/>
    <w:rsid w:val="00BC5A88"/>
    <w:rsid w:val="00BC653C"/>
    <w:rsid w:val="00BC6A01"/>
    <w:rsid w:val="00BC71B8"/>
    <w:rsid w:val="00BC7722"/>
    <w:rsid w:val="00BC7A14"/>
    <w:rsid w:val="00BD018D"/>
    <w:rsid w:val="00BD04CF"/>
    <w:rsid w:val="00BD0A90"/>
    <w:rsid w:val="00BD2B78"/>
    <w:rsid w:val="00BD3616"/>
    <w:rsid w:val="00BD3ABD"/>
    <w:rsid w:val="00BD4E99"/>
    <w:rsid w:val="00BD50E1"/>
    <w:rsid w:val="00BE0C51"/>
    <w:rsid w:val="00BE1A26"/>
    <w:rsid w:val="00BE1F7E"/>
    <w:rsid w:val="00BE2101"/>
    <w:rsid w:val="00BE3166"/>
    <w:rsid w:val="00BE3A18"/>
    <w:rsid w:val="00BE4FE9"/>
    <w:rsid w:val="00BE64FA"/>
    <w:rsid w:val="00BE6587"/>
    <w:rsid w:val="00BE670F"/>
    <w:rsid w:val="00BE682F"/>
    <w:rsid w:val="00BF0153"/>
    <w:rsid w:val="00BF0989"/>
    <w:rsid w:val="00BF2556"/>
    <w:rsid w:val="00BF28EF"/>
    <w:rsid w:val="00BF2E1B"/>
    <w:rsid w:val="00BF2FAB"/>
    <w:rsid w:val="00BF684F"/>
    <w:rsid w:val="00BF7AC8"/>
    <w:rsid w:val="00BF7B9B"/>
    <w:rsid w:val="00C003EB"/>
    <w:rsid w:val="00C014F7"/>
    <w:rsid w:val="00C01BE6"/>
    <w:rsid w:val="00C024EE"/>
    <w:rsid w:val="00C025E3"/>
    <w:rsid w:val="00C029F8"/>
    <w:rsid w:val="00C02B9F"/>
    <w:rsid w:val="00C03250"/>
    <w:rsid w:val="00C04267"/>
    <w:rsid w:val="00C04702"/>
    <w:rsid w:val="00C04AA9"/>
    <w:rsid w:val="00C05B79"/>
    <w:rsid w:val="00C0681B"/>
    <w:rsid w:val="00C10813"/>
    <w:rsid w:val="00C10C8C"/>
    <w:rsid w:val="00C1293C"/>
    <w:rsid w:val="00C1348A"/>
    <w:rsid w:val="00C1356B"/>
    <w:rsid w:val="00C15100"/>
    <w:rsid w:val="00C16C89"/>
    <w:rsid w:val="00C17A8A"/>
    <w:rsid w:val="00C17FDF"/>
    <w:rsid w:val="00C20082"/>
    <w:rsid w:val="00C215A3"/>
    <w:rsid w:val="00C21CB9"/>
    <w:rsid w:val="00C239F7"/>
    <w:rsid w:val="00C23B39"/>
    <w:rsid w:val="00C24FC3"/>
    <w:rsid w:val="00C25571"/>
    <w:rsid w:val="00C26F47"/>
    <w:rsid w:val="00C26FA8"/>
    <w:rsid w:val="00C278E2"/>
    <w:rsid w:val="00C305D6"/>
    <w:rsid w:val="00C3080C"/>
    <w:rsid w:val="00C3159B"/>
    <w:rsid w:val="00C319B1"/>
    <w:rsid w:val="00C3387C"/>
    <w:rsid w:val="00C33A86"/>
    <w:rsid w:val="00C33D3A"/>
    <w:rsid w:val="00C3496A"/>
    <w:rsid w:val="00C3541D"/>
    <w:rsid w:val="00C362A0"/>
    <w:rsid w:val="00C363B6"/>
    <w:rsid w:val="00C366B9"/>
    <w:rsid w:val="00C3702E"/>
    <w:rsid w:val="00C3723C"/>
    <w:rsid w:val="00C373A2"/>
    <w:rsid w:val="00C37E1C"/>
    <w:rsid w:val="00C40FCA"/>
    <w:rsid w:val="00C41047"/>
    <w:rsid w:val="00C41A9D"/>
    <w:rsid w:val="00C41DE7"/>
    <w:rsid w:val="00C41F83"/>
    <w:rsid w:val="00C4205B"/>
    <w:rsid w:val="00C421EB"/>
    <w:rsid w:val="00C424E8"/>
    <w:rsid w:val="00C42C29"/>
    <w:rsid w:val="00C4360A"/>
    <w:rsid w:val="00C43840"/>
    <w:rsid w:val="00C441A1"/>
    <w:rsid w:val="00C443C5"/>
    <w:rsid w:val="00C44608"/>
    <w:rsid w:val="00C458B7"/>
    <w:rsid w:val="00C45EF9"/>
    <w:rsid w:val="00C50DFF"/>
    <w:rsid w:val="00C51220"/>
    <w:rsid w:val="00C51A49"/>
    <w:rsid w:val="00C52283"/>
    <w:rsid w:val="00C55C1B"/>
    <w:rsid w:val="00C5756F"/>
    <w:rsid w:val="00C57690"/>
    <w:rsid w:val="00C57C2A"/>
    <w:rsid w:val="00C57FDA"/>
    <w:rsid w:val="00C604B1"/>
    <w:rsid w:val="00C60EA2"/>
    <w:rsid w:val="00C61A3B"/>
    <w:rsid w:val="00C629A3"/>
    <w:rsid w:val="00C64CBB"/>
    <w:rsid w:val="00C6505B"/>
    <w:rsid w:val="00C6532B"/>
    <w:rsid w:val="00C6782F"/>
    <w:rsid w:val="00C7044A"/>
    <w:rsid w:val="00C70F34"/>
    <w:rsid w:val="00C716C8"/>
    <w:rsid w:val="00C71A3B"/>
    <w:rsid w:val="00C730D3"/>
    <w:rsid w:val="00C73200"/>
    <w:rsid w:val="00C73819"/>
    <w:rsid w:val="00C73BC4"/>
    <w:rsid w:val="00C76F64"/>
    <w:rsid w:val="00C776A1"/>
    <w:rsid w:val="00C800F5"/>
    <w:rsid w:val="00C81DA0"/>
    <w:rsid w:val="00C81DE7"/>
    <w:rsid w:val="00C82D02"/>
    <w:rsid w:val="00C82DE2"/>
    <w:rsid w:val="00C837C6"/>
    <w:rsid w:val="00C8415B"/>
    <w:rsid w:val="00C848E3"/>
    <w:rsid w:val="00C85B8F"/>
    <w:rsid w:val="00C8669E"/>
    <w:rsid w:val="00C86EE0"/>
    <w:rsid w:val="00C874AF"/>
    <w:rsid w:val="00C878B8"/>
    <w:rsid w:val="00C87CDF"/>
    <w:rsid w:val="00C91060"/>
    <w:rsid w:val="00C915C3"/>
    <w:rsid w:val="00C924FB"/>
    <w:rsid w:val="00C92B78"/>
    <w:rsid w:val="00C934C7"/>
    <w:rsid w:val="00C95C38"/>
    <w:rsid w:val="00C95DD4"/>
    <w:rsid w:val="00C95ED1"/>
    <w:rsid w:val="00CA1E5B"/>
    <w:rsid w:val="00CA3F91"/>
    <w:rsid w:val="00CA4D4B"/>
    <w:rsid w:val="00CA57DE"/>
    <w:rsid w:val="00CA74B0"/>
    <w:rsid w:val="00CA7E42"/>
    <w:rsid w:val="00CB0307"/>
    <w:rsid w:val="00CB2E46"/>
    <w:rsid w:val="00CB3C56"/>
    <w:rsid w:val="00CB4233"/>
    <w:rsid w:val="00CB4B45"/>
    <w:rsid w:val="00CB4EE8"/>
    <w:rsid w:val="00CB5E49"/>
    <w:rsid w:val="00CC0498"/>
    <w:rsid w:val="00CC138A"/>
    <w:rsid w:val="00CC1778"/>
    <w:rsid w:val="00CC199A"/>
    <w:rsid w:val="00CC1B94"/>
    <w:rsid w:val="00CC1BF3"/>
    <w:rsid w:val="00CC1DE7"/>
    <w:rsid w:val="00CC1E16"/>
    <w:rsid w:val="00CC1E9A"/>
    <w:rsid w:val="00CC20BF"/>
    <w:rsid w:val="00CC236A"/>
    <w:rsid w:val="00CC316D"/>
    <w:rsid w:val="00CC33A6"/>
    <w:rsid w:val="00CC4241"/>
    <w:rsid w:val="00CC5338"/>
    <w:rsid w:val="00CC58B9"/>
    <w:rsid w:val="00CC599E"/>
    <w:rsid w:val="00CC5E07"/>
    <w:rsid w:val="00CC64A6"/>
    <w:rsid w:val="00CC6AC7"/>
    <w:rsid w:val="00CC6B86"/>
    <w:rsid w:val="00CC6D22"/>
    <w:rsid w:val="00CC7D82"/>
    <w:rsid w:val="00CD0548"/>
    <w:rsid w:val="00CD09C3"/>
    <w:rsid w:val="00CD1CFE"/>
    <w:rsid w:val="00CD2F58"/>
    <w:rsid w:val="00CD3658"/>
    <w:rsid w:val="00CD36EF"/>
    <w:rsid w:val="00CD5501"/>
    <w:rsid w:val="00CD6709"/>
    <w:rsid w:val="00CD7D47"/>
    <w:rsid w:val="00CE0275"/>
    <w:rsid w:val="00CE0458"/>
    <w:rsid w:val="00CE07AD"/>
    <w:rsid w:val="00CE094C"/>
    <w:rsid w:val="00CE0D99"/>
    <w:rsid w:val="00CE1F8C"/>
    <w:rsid w:val="00CE213C"/>
    <w:rsid w:val="00CE24EF"/>
    <w:rsid w:val="00CE30D3"/>
    <w:rsid w:val="00CE3BD0"/>
    <w:rsid w:val="00CE3CA3"/>
    <w:rsid w:val="00CE3DE9"/>
    <w:rsid w:val="00CE3DFD"/>
    <w:rsid w:val="00CE5AF4"/>
    <w:rsid w:val="00CE64F3"/>
    <w:rsid w:val="00CE6E4B"/>
    <w:rsid w:val="00CE76FC"/>
    <w:rsid w:val="00CF046D"/>
    <w:rsid w:val="00CF2370"/>
    <w:rsid w:val="00CF3FFF"/>
    <w:rsid w:val="00CF4739"/>
    <w:rsid w:val="00CF5322"/>
    <w:rsid w:val="00CF6D83"/>
    <w:rsid w:val="00CF784B"/>
    <w:rsid w:val="00D0010C"/>
    <w:rsid w:val="00D03117"/>
    <w:rsid w:val="00D068DC"/>
    <w:rsid w:val="00D06AC9"/>
    <w:rsid w:val="00D070DE"/>
    <w:rsid w:val="00D0739C"/>
    <w:rsid w:val="00D07D45"/>
    <w:rsid w:val="00D10755"/>
    <w:rsid w:val="00D10EF9"/>
    <w:rsid w:val="00D120E7"/>
    <w:rsid w:val="00D124C2"/>
    <w:rsid w:val="00D1392E"/>
    <w:rsid w:val="00D2135A"/>
    <w:rsid w:val="00D2191F"/>
    <w:rsid w:val="00D21C1A"/>
    <w:rsid w:val="00D21DD5"/>
    <w:rsid w:val="00D22085"/>
    <w:rsid w:val="00D226BE"/>
    <w:rsid w:val="00D23202"/>
    <w:rsid w:val="00D235DB"/>
    <w:rsid w:val="00D24425"/>
    <w:rsid w:val="00D2491E"/>
    <w:rsid w:val="00D24ADD"/>
    <w:rsid w:val="00D252D6"/>
    <w:rsid w:val="00D2720E"/>
    <w:rsid w:val="00D30240"/>
    <w:rsid w:val="00D3103D"/>
    <w:rsid w:val="00D31468"/>
    <w:rsid w:val="00D32BD4"/>
    <w:rsid w:val="00D32CDF"/>
    <w:rsid w:val="00D339DF"/>
    <w:rsid w:val="00D33DC3"/>
    <w:rsid w:val="00D34805"/>
    <w:rsid w:val="00D35518"/>
    <w:rsid w:val="00D368D1"/>
    <w:rsid w:val="00D36A05"/>
    <w:rsid w:val="00D400A3"/>
    <w:rsid w:val="00D4105F"/>
    <w:rsid w:val="00D4181B"/>
    <w:rsid w:val="00D44031"/>
    <w:rsid w:val="00D44212"/>
    <w:rsid w:val="00D47914"/>
    <w:rsid w:val="00D502D9"/>
    <w:rsid w:val="00D5068E"/>
    <w:rsid w:val="00D50A10"/>
    <w:rsid w:val="00D50D3A"/>
    <w:rsid w:val="00D578B2"/>
    <w:rsid w:val="00D57B19"/>
    <w:rsid w:val="00D57C9F"/>
    <w:rsid w:val="00D605D7"/>
    <w:rsid w:val="00D60C56"/>
    <w:rsid w:val="00D62E76"/>
    <w:rsid w:val="00D63C61"/>
    <w:rsid w:val="00D63FC0"/>
    <w:rsid w:val="00D646AB"/>
    <w:rsid w:val="00D70002"/>
    <w:rsid w:val="00D7116B"/>
    <w:rsid w:val="00D712CC"/>
    <w:rsid w:val="00D71649"/>
    <w:rsid w:val="00D7216E"/>
    <w:rsid w:val="00D723D8"/>
    <w:rsid w:val="00D72E36"/>
    <w:rsid w:val="00D73270"/>
    <w:rsid w:val="00D733B2"/>
    <w:rsid w:val="00D736E1"/>
    <w:rsid w:val="00D73B5E"/>
    <w:rsid w:val="00D74374"/>
    <w:rsid w:val="00D744EA"/>
    <w:rsid w:val="00D74DA2"/>
    <w:rsid w:val="00D754CE"/>
    <w:rsid w:val="00D764DE"/>
    <w:rsid w:val="00D76627"/>
    <w:rsid w:val="00D76E2F"/>
    <w:rsid w:val="00D8033F"/>
    <w:rsid w:val="00D813FD"/>
    <w:rsid w:val="00D814C9"/>
    <w:rsid w:val="00D83CCA"/>
    <w:rsid w:val="00D841DB"/>
    <w:rsid w:val="00D84585"/>
    <w:rsid w:val="00D84685"/>
    <w:rsid w:val="00D85D02"/>
    <w:rsid w:val="00D86D25"/>
    <w:rsid w:val="00D870AD"/>
    <w:rsid w:val="00D873E2"/>
    <w:rsid w:val="00D8745A"/>
    <w:rsid w:val="00D8785F"/>
    <w:rsid w:val="00D878A7"/>
    <w:rsid w:val="00D87B1E"/>
    <w:rsid w:val="00D9056C"/>
    <w:rsid w:val="00D90D72"/>
    <w:rsid w:val="00D92E13"/>
    <w:rsid w:val="00D93B7D"/>
    <w:rsid w:val="00D940C1"/>
    <w:rsid w:val="00D94210"/>
    <w:rsid w:val="00DA0A43"/>
    <w:rsid w:val="00DA222B"/>
    <w:rsid w:val="00DA2AF8"/>
    <w:rsid w:val="00DA3212"/>
    <w:rsid w:val="00DA32E0"/>
    <w:rsid w:val="00DA3834"/>
    <w:rsid w:val="00DA4371"/>
    <w:rsid w:val="00DA48C6"/>
    <w:rsid w:val="00DA52DC"/>
    <w:rsid w:val="00DA676B"/>
    <w:rsid w:val="00DA6D50"/>
    <w:rsid w:val="00DA72AC"/>
    <w:rsid w:val="00DA7774"/>
    <w:rsid w:val="00DA7A2F"/>
    <w:rsid w:val="00DB07A6"/>
    <w:rsid w:val="00DB0F76"/>
    <w:rsid w:val="00DB225F"/>
    <w:rsid w:val="00DB246C"/>
    <w:rsid w:val="00DB3AE9"/>
    <w:rsid w:val="00DB3B00"/>
    <w:rsid w:val="00DB3C93"/>
    <w:rsid w:val="00DB444A"/>
    <w:rsid w:val="00DB5469"/>
    <w:rsid w:val="00DB5F9B"/>
    <w:rsid w:val="00DB61A2"/>
    <w:rsid w:val="00DB62A4"/>
    <w:rsid w:val="00DB7922"/>
    <w:rsid w:val="00DB7A53"/>
    <w:rsid w:val="00DC00DF"/>
    <w:rsid w:val="00DC10D7"/>
    <w:rsid w:val="00DC12EC"/>
    <w:rsid w:val="00DC17CC"/>
    <w:rsid w:val="00DC1D7A"/>
    <w:rsid w:val="00DC23F9"/>
    <w:rsid w:val="00DC2AFE"/>
    <w:rsid w:val="00DC2BF4"/>
    <w:rsid w:val="00DC307E"/>
    <w:rsid w:val="00DC34E8"/>
    <w:rsid w:val="00DC6276"/>
    <w:rsid w:val="00DC6556"/>
    <w:rsid w:val="00DC6E92"/>
    <w:rsid w:val="00DD0329"/>
    <w:rsid w:val="00DD03ED"/>
    <w:rsid w:val="00DD1D29"/>
    <w:rsid w:val="00DD2AA6"/>
    <w:rsid w:val="00DD37BD"/>
    <w:rsid w:val="00DD3F81"/>
    <w:rsid w:val="00DD5B0D"/>
    <w:rsid w:val="00DD61DE"/>
    <w:rsid w:val="00DD7223"/>
    <w:rsid w:val="00DD7A82"/>
    <w:rsid w:val="00DE031B"/>
    <w:rsid w:val="00DE06F9"/>
    <w:rsid w:val="00DE152C"/>
    <w:rsid w:val="00DE4615"/>
    <w:rsid w:val="00DE4BB1"/>
    <w:rsid w:val="00DE52E4"/>
    <w:rsid w:val="00DE68EC"/>
    <w:rsid w:val="00DF0A33"/>
    <w:rsid w:val="00DF1630"/>
    <w:rsid w:val="00DF16CA"/>
    <w:rsid w:val="00DF259D"/>
    <w:rsid w:val="00DF2A41"/>
    <w:rsid w:val="00DF33DB"/>
    <w:rsid w:val="00DF3805"/>
    <w:rsid w:val="00DF3B09"/>
    <w:rsid w:val="00DF48A1"/>
    <w:rsid w:val="00DF5B1A"/>
    <w:rsid w:val="00DF670F"/>
    <w:rsid w:val="00DF7C68"/>
    <w:rsid w:val="00DF7E7D"/>
    <w:rsid w:val="00E00A3C"/>
    <w:rsid w:val="00E02262"/>
    <w:rsid w:val="00E03BBC"/>
    <w:rsid w:val="00E05109"/>
    <w:rsid w:val="00E057A0"/>
    <w:rsid w:val="00E05C68"/>
    <w:rsid w:val="00E06505"/>
    <w:rsid w:val="00E06E37"/>
    <w:rsid w:val="00E07D6C"/>
    <w:rsid w:val="00E07F8F"/>
    <w:rsid w:val="00E10510"/>
    <w:rsid w:val="00E109B4"/>
    <w:rsid w:val="00E10B54"/>
    <w:rsid w:val="00E10BCA"/>
    <w:rsid w:val="00E128B4"/>
    <w:rsid w:val="00E12989"/>
    <w:rsid w:val="00E12A38"/>
    <w:rsid w:val="00E13573"/>
    <w:rsid w:val="00E136CE"/>
    <w:rsid w:val="00E1395B"/>
    <w:rsid w:val="00E141B7"/>
    <w:rsid w:val="00E14209"/>
    <w:rsid w:val="00E1435B"/>
    <w:rsid w:val="00E14CA3"/>
    <w:rsid w:val="00E15736"/>
    <w:rsid w:val="00E157FE"/>
    <w:rsid w:val="00E15FB5"/>
    <w:rsid w:val="00E168F1"/>
    <w:rsid w:val="00E16D4C"/>
    <w:rsid w:val="00E17B47"/>
    <w:rsid w:val="00E2099F"/>
    <w:rsid w:val="00E22066"/>
    <w:rsid w:val="00E23F49"/>
    <w:rsid w:val="00E27ACA"/>
    <w:rsid w:val="00E30D59"/>
    <w:rsid w:val="00E31E7F"/>
    <w:rsid w:val="00E32EA4"/>
    <w:rsid w:val="00E33A21"/>
    <w:rsid w:val="00E33E06"/>
    <w:rsid w:val="00E34EE0"/>
    <w:rsid w:val="00E35197"/>
    <w:rsid w:val="00E35375"/>
    <w:rsid w:val="00E35557"/>
    <w:rsid w:val="00E3560C"/>
    <w:rsid w:val="00E356FF"/>
    <w:rsid w:val="00E35857"/>
    <w:rsid w:val="00E358E9"/>
    <w:rsid w:val="00E35CF3"/>
    <w:rsid w:val="00E35D95"/>
    <w:rsid w:val="00E36A09"/>
    <w:rsid w:val="00E3749D"/>
    <w:rsid w:val="00E41412"/>
    <w:rsid w:val="00E41945"/>
    <w:rsid w:val="00E41C50"/>
    <w:rsid w:val="00E42C8B"/>
    <w:rsid w:val="00E43688"/>
    <w:rsid w:val="00E4378B"/>
    <w:rsid w:val="00E437B6"/>
    <w:rsid w:val="00E43D4E"/>
    <w:rsid w:val="00E449D6"/>
    <w:rsid w:val="00E46787"/>
    <w:rsid w:val="00E474DC"/>
    <w:rsid w:val="00E52A71"/>
    <w:rsid w:val="00E52BFA"/>
    <w:rsid w:val="00E536CF"/>
    <w:rsid w:val="00E5382E"/>
    <w:rsid w:val="00E53937"/>
    <w:rsid w:val="00E54883"/>
    <w:rsid w:val="00E56592"/>
    <w:rsid w:val="00E57684"/>
    <w:rsid w:val="00E60112"/>
    <w:rsid w:val="00E6058E"/>
    <w:rsid w:val="00E610B6"/>
    <w:rsid w:val="00E611A0"/>
    <w:rsid w:val="00E62379"/>
    <w:rsid w:val="00E62586"/>
    <w:rsid w:val="00E62661"/>
    <w:rsid w:val="00E62DCE"/>
    <w:rsid w:val="00E6300E"/>
    <w:rsid w:val="00E643BF"/>
    <w:rsid w:val="00E646AC"/>
    <w:rsid w:val="00E66091"/>
    <w:rsid w:val="00E67CA7"/>
    <w:rsid w:val="00E74274"/>
    <w:rsid w:val="00E76D87"/>
    <w:rsid w:val="00E77D2B"/>
    <w:rsid w:val="00E8053A"/>
    <w:rsid w:val="00E80AFD"/>
    <w:rsid w:val="00E810C6"/>
    <w:rsid w:val="00E81510"/>
    <w:rsid w:val="00E81DB9"/>
    <w:rsid w:val="00E81FB4"/>
    <w:rsid w:val="00E82B37"/>
    <w:rsid w:val="00E82B4E"/>
    <w:rsid w:val="00E82C2B"/>
    <w:rsid w:val="00E83C2D"/>
    <w:rsid w:val="00E846EA"/>
    <w:rsid w:val="00E85593"/>
    <w:rsid w:val="00E863FA"/>
    <w:rsid w:val="00E86420"/>
    <w:rsid w:val="00E869F7"/>
    <w:rsid w:val="00E87BC0"/>
    <w:rsid w:val="00E87BEA"/>
    <w:rsid w:val="00E900DF"/>
    <w:rsid w:val="00E90B2D"/>
    <w:rsid w:val="00E9145F"/>
    <w:rsid w:val="00E91A55"/>
    <w:rsid w:val="00E92EF0"/>
    <w:rsid w:val="00E93056"/>
    <w:rsid w:val="00E936B2"/>
    <w:rsid w:val="00E93DA3"/>
    <w:rsid w:val="00E941D4"/>
    <w:rsid w:val="00E94406"/>
    <w:rsid w:val="00E946DA"/>
    <w:rsid w:val="00E959F6"/>
    <w:rsid w:val="00E96567"/>
    <w:rsid w:val="00E96942"/>
    <w:rsid w:val="00E96F04"/>
    <w:rsid w:val="00E9743C"/>
    <w:rsid w:val="00EA0504"/>
    <w:rsid w:val="00EA0A7B"/>
    <w:rsid w:val="00EA0AC3"/>
    <w:rsid w:val="00EA15E0"/>
    <w:rsid w:val="00EA3271"/>
    <w:rsid w:val="00EA38F6"/>
    <w:rsid w:val="00EA4D0B"/>
    <w:rsid w:val="00EA605E"/>
    <w:rsid w:val="00EA6182"/>
    <w:rsid w:val="00EA7024"/>
    <w:rsid w:val="00EB00DD"/>
    <w:rsid w:val="00EB00EB"/>
    <w:rsid w:val="00EB1165"/>
    <w:rsid w:val="00EB1377"/>
    <w:rsid w:val="00EB242E"/>
    <w:rsid w:val="00EB37F2"/>
    <w:rsid w:val="00EB59FA"/>
    <w:rsid w:val="00EB65C0"/>
    <w:rsid w:val="00EB6C76"/>
    <w:rsid w:val="00EB6CF5"/>
    <w:rsid w:val="00EB710E"/>
    <w:rsid w:val="00EB758E"/>
    <w:rsid w:val="00EB76BD"/>
    <w:rsid w:val="00EB78C1"/>
    <w:rsid w:val="00EB7A3B"/>
    <w:rsid w:val="00EC14DC"/>
    <w:rsid w:val="00EC2A8C"/>
    <w:rsid w:val="00EC35C3"/>
    <w:rsid w:val="00EC3702"/>
    <w:rsid w:val="00EC3815"/>
    <w:rsid w:val="00EC4A47"/>
    <w:rsid w:val="00EC7071"/>
    <w:rsid w:val="00EC7AFF"/>
    <w:rsid w:val="00EC7B77"/>
    <w:rsid w:val="00ED0961"/>
    <w:rsid w:val="00ED1981"/>
    <w:rsid w:val="00ED3382"/>
    <w:rsid w:val="00ED427E"/>
    <w:rsid w:val="00ED4BE1"/>
    <w:rsid w:val="00ED4D73"/>
    <w:rsid w:val="00ED4D8E"/>
    <w:rsid w:val="00ED5766"/>
    <w:rsid w:val="00ED71B8"/>
    <w:rsid w:val="00EE0105"/>
    <w:rsid w:val="00EE1995"/>
    <w:rsid w:val="00EE1DC9"/>
    <w:rsid w:val="00EE322B"/>
    <w:rsid w:val="00EE5252"/>
    <w:rsid w:val="00EF0210"/>
    <w:rsid w:val="00EF10B3"/>
    <w:rsid w:val="00EF134A"/>
    <w:rsid w:val="00EF146E"/>
    <w:rsid w:val="00EF180F"/>
    <w:rsid w:val="00EF326E"/>
    <w:rsid w:val="00EF3313"/>
    <w:rsid w:val="00EF4FEB"/>
    <w:rsid w:val="00EF6152"/>
    <w:rsid w:val="00EF685F"/>
    <w:rsid w:val="00EF6E90"/>
    <w:rsid w:val="00EF6E9A"/>
    <w:rsid w:val="00EF71AA"/>
    <w:rsid w:val="00EF78DF"/>
    <w:rsid w:val="00EF7E57"/>
    <w:rsid w:val="00F00E2D"/>
    <w:rsid w:val="00F028E0"/>
    <w:rsid w:val="00F02AA6"/>
    <w:rsid w:val="00F03DF3"/>
    <w:rsid w:val="00F06540"/>
    <w:rsid w:val="00F06BBC"/>
    <w:rsid w:val="00F07025"/>
    <w:rsid w:val="00F078AB"/>
    <w:rsid w:val="00F107B5"/>
    <w:rsid w:val="00F10876"/>
    <w:rsid w:val="00F109B1"/>
    <w:rsid w:val="00F10EF8"/>
    <w:rsid w:val="00F1118D"/>
    <w:rsid w:val="00F11818"/>
    <w:rsid w:val="00F11D26"/>
    <w:rsid w:val="00F1238D"/>
    <w:rsid w:val="00F13C9D"/>
    <w:rsid w:val="00F14084"/>
    <w:rsid w:val="00F14EFC"/>
    <w:rsid w:val="00F15210"/>
    <w:rsid w:val="00F15341"/>
    <w:rsid w:val="00F15A48"/>
    <w:rsid w:val="00F168B6"/>
    <w:rsid w:val="00F1712E"/>
    <w:rsid w:val="00F21D2E"/>
    <w:rsid w:val="00F22CD4"/>
    <w:rsid w:val="00F23872"/>
    <w:rsid w:val="00F24912"/>
    <w:rsid w:val="00F24C2D"/>
    <w:rsid w:val="00F25202"/>
    <w:rsid w:val="00F261E8"/>
    <w:rsid w:val="00F267F3"/>
    <w:rsid w:val="00F276F8"/>
    <w:rsid w:val="00F2783A"/>
    <w:rsid w:val="00F30752"/>
    <w:rsid w:val="00F319C9"/>
    <w:rsid w:val="00F32A1D"/>
    <w:rsid w:val="00F32AEA"/>
    <w:rsid w:val="00F337C5"/>
    <w:rsid w:val="00F33DA3"/>
    <w:rsid w:val="00F3409C"/>
    <w:rsid w:val="00F34BD7"/>
    <w:rsid w:val="00F36227"/>
    <w:rsid w:val="00F36AA3"/>
    <w:rsid w:val="00F401CE"/>
    <w:rsid w:val="00F40FE0"/>
    <w:rsid w:val="00F416DE"/>
    <w:rsid w:val="00F43F05"/>
    <w:rsid w:val="00F44368"/>
    <w:rsid w:val="00F44ED0"/>
    <w:rsid w:val="00F44FD6"/>
    <w:rsid w:val="00F455F9"/>
    <w:rsid w:val="00F4637F"/>
    <w:rsid w:val="00F463E5"/>
    <w:rsid w:val="00F472F7"/>
    <w:rsid w:val="00F4788E"/>
    <w:rsid w:val="00F47C5D"/>
    <w:rsid w:val="00F5042E"/>
    <w:rsid w:val="00F50EFA"/>
    <w:rsid w:val="00F51E6A"/>
    <w:rsid w:val="00F52B80"/>
    <w:rsid w:val="00F5355A"/>
    <w:rsid w:val="00F53EA1"/>
    <w:rsid w:val="00F5420E"/>
    <w:rsid w:val="00F5571C"/>
    <w:rsid w:val="00F56F4B"/>
    <w:rsid w:val="00F57D5E"/>
    <w:rsid w:val="00F60603"/>
    <w:rsid w:val="00F61866"/>
    <w:rsid w:val="00F63F96"/>
    <w:rsid w:val="00F64811"/>
    <w:rsid w:val="00F65343"/>
    <w:rsid w:val="00F65B5E"/>
    <w:rsid w:val="00F66C9B"/>
    <w:rsid w:val="00F67047"/>
    <w:rsid w:val="00F67B7F"/>
    <w:rsid w:val="00F67F72"/>
    <w:rsid w:val="00F70B74"/>
    <w:rsid w:val="00F70DFF"/>
    <w:rsid w:val="00F71998"/>
    <w:rsid w:val="00F71C64"/>
    <w:rsid w:val="00F734FC"/>
    <w:rsid w:val="00F73D3E"/>
    <w:rsid w:val="00F745A6"/>
    <w:rsid w:val="00F748DC"/>
    <w:rsid w:val="00F74D5A"/>
    <w:rsid w:val="00F75AE6"/>
    <w:rsid w:val="00F75C6C"/>
    <w:rsid w:val="00F76C8A"/>
    <w:rsid w:val="00F80844"/>
    <w:rsid w:val="00F818A7"/>
    <w:rsid w:val="00F83A06"/>
    <w:rsid w:val="00F845B0"/>
    <w:rsid w:val="00F86B00"/>
    <w:rsid w:val="00F90397"/>
    <w:rsid w:val="00F917CD"/>
    <w:rsid w:val="00F93469"/>
    <w:rsid w:val="00F9502B"/>
    <w:rsid w:val="00F9633A"/>
    <w:rsid w:val="00F966D2"/>
    <w:rsid w:val="00F96859"/>
    <w:rsid w:val="00F97D33"/>
    <w:rsid w:val="00FA1C56"/>
    <w:rsid w:val="00FA2AA1"/>
    <w:rsid w:val="00FA3182"/>
    <w:rsid w:val="00FA3439"/>
    <w:rsid w:val="00FA4B64"/>
    <w:rsid w:val="00FA4B90"/>
    <w:rsid w:val="00FA5916"/>
    <w:rsid w:val="00FA60BE"/>
    <w:rsid w:val="00FA615B"/>
    <w:rsid w:val="00FA62C3"/>
    <w:rsid w:val="00FA65C1"/>
    <w:rsid w:val="00FB0FCF"/>
    <w:rsid w:val="00FB1215"/>
    <w:rsid w:val="00FB2D9B"/>
    <w:rsid w:val="00FB42B9"/>
    <w:rsid w:val="00FB43C2"/>
    <w:rsid w:val="00FB47CD"/>
    <w:rsid w:val="00FB4B53"/>
    <w:rsid w:val="00FB4E76"/>
    <w:rsid w:val="00FB554A"/>
    <w:rsid w:val="00FB56CD"/>
    <w:rsid w:val="00FB6051"/>
    <w:rsid w:val="00FC0683"/>
    <w:rsid w:val="00FC0A3D"/>
    <w:rsid w:val="00FC17F6"/>
    <w:rsid w:val="00FC1E87"/>
    <w:rsid w:val="00FC49CF"/>
    <w:rsid w:val="00FC5B83"/>
    <w:rsid w:val="00FC660D"/>
    <w:rsid w:val="00FC73B4"/>
    <w:rsid w:val="00FD037B"/>
    <w:rsid w:val="00FD078D"/>
    <w:rsid w:val="00FD302C"/>
    <w:rsid w:val="00FD46F6"/>
    <w:rsid w:val="00FD566B"/>
    <w:rsid w:val="00FD588C"/>
    <w:rsid w:val="00FD6725"/>
    <w:rsid w:val="00FE1EB5"/>
    <w:rsid w:val="00FE3D91"/>
    <w:rsid w:val="00FE3FF0"/>
    <w:rsid w:val="00FE4333"/>
    <w:rsid w:val="00FE47C7"/>
    <w:rsid w:val="00FE4988"/>
    <w:rsid w:val="00FE6C59"/>
    <w:rsid w:val="00FE7780"/>
    <w:rsid w:val="00FE7A9B"/>
    <w:rsid w:val="00FE7C66"/>
    <w:rsid w:val="00FF013E"/>
    <w:rsid w:val="00FF0872"/>
    <w:rsid w:val="00FF08A7"/>
    <w:rsid w:val="00FF2867"/>
    <w:rsid w:val="00FF6881"/>
    <w:rsid w:val="00FF7338"/>
    <w:rsid w:val="00FF77AF"/>
    <w:rsid w:val="00FF7F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DA43FF"/>
  <w15:docId w15:val="{76CC74DE-6331-42E6-8E83-4229D302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ar-SA"/>
      </w:rPr>
    </w:rPrDefault>
    <w:pPrDefault/>
  </w:docDefaults>
  <w:latentStyles w:defLockedState="0" w:defUIPriority="0" w:defSemiHidden="0" w:defUnhideWhenUsed="0" w:defQFormat="0" w:count="371">
    <w:lsdException w:name="Normal" w:qFormat="1"/>
    <w:lsdException w:name="heading 1" w:uiPriority="99"/>
    <w:lsdException w:name="heading 2" w:uiPriority="99"/>
    <w:lsdException w:name="heading 3" w:uiPriority="99"/>
    <w:lsdException w:name="heading 4" w:uiPriority="99"/>
    <w:lsdException w:name="heading 6" w:uiPriority="99"/>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B5"/>
    <w:rPr>
      <w:lang w:val="en-GB"/>
    </w:rPr>
  </w:style>
  <w:style w:type="paragraph" w:styleId="Heading1">
    <w:name w:val="heading 1"/>
    <w:basedOn w:val="Normal"/>
    <w:next w:val="Normal"/>
    <w:link w:val="Heading1Char"/>
    <w:uiPriority w:val="99"/>
    <w:rsid w:val="00261FB5"/>
    <w:pPr>
      <w:keepNext/>
      <w:outlineLvl w:val="0"/>
    </w:pPr>
    <w:rPr>
      <w:rFonts w:ascii="Arial" w:hAnsi="Arial"/>
      <w:b/>
      <w:sz w:val="28"/>
    </w:rPr>
  </w:style>
  <w:style w:type="paragraph" w:styleId="Heading2">
    <w:name w:val="heading 2"/>
    <w:basedOn w:val="Normal"/>
    <w:next w:val="Normal"/>
    <w:link w:val="Heading2Char"/>
    <w:uiPriority w:val="99"/>
    <w:rsid w:val="00261FB5"/>
    <w:pPr>
      <w:keepNext/>
      <w:outlineLvl w:val="1"/>
    </w:pPr>
    <w:rPr>
      <w:rFonts w:ascii="Arial" w:hAnsi="Arial"/>
      <w:b/>
    </w:rPr>
  </w:style>
  <w:style w:type="paragraph" w:styleId="Heading3">
    <w:name w:val="heading 3"/>
    <w:basedOn w:val="Normal"/>
    <w:next w:val="Normal"/>
    <w:link w:val="Heading3Char"/>
    <w:uiPriority w:val="99"/>
    <w:rsid w:val="00261FB5"/>
    <w:pPr>
      <w:keepNext/>
      <w:jc w:val="center"/>
      <w:outlineLvl w:val="2"/>
    </w:pPr>
    <w:rPr>
      <w:b/>
    </w:rPr>
  </w:style>
  <w:style w:type="paragraph" w:styleId="Heading4">
    <w:name w:val="heading 4"/>
    <w:basedOn w:val="Normal"/>
    <w:next w:val="Normal"/>
    <w:link w:val="Heading4Char"/>
    <w:uiPriority w:val="99"/>
    <w:rsid w:val="00261FB5"/>
    <w:pPr>
      <w:keepNext/>
      <w:jc w:val="center"/>
      <w:outlineLvl w:val="3"/>
    </w:pPr>
    <w:rPr>
      <w:u w:val="single"/>
    </w:rPr>
  </w:style>
  <w:style w:type="paragraph" w:styleId="Heading5">
    <w:name w:val="heading 5"/>
    <w:basedOn w:val="Normal"/>
    <w:next w:val="Normal"/>
    <w:rsid w:val="00261FB5"/>
    <w:pPr>
      <w:keepNext/>
      <w:numPr>
        <w:numId w:val="1"/>
      </w:numPr>
      <w:tabs>
        <w:tab w:val="center" w:pos="4680"/>
      </w:tabs>
      <w:jc w:val="center"/>
      <w:outlineLvl w:val="4"/>
    </w:pPr>
    <w:rPr>
      <w:u w:val="single"/>
    </w:rPr>
  </w:style>
  <w:style w:type="paragraph" w:styleId="Heading6">
    <w:name w:val="heading 6"/>
    <w:basedOn w:val="Normal"/>
    <w:next w:val="Normal"/>
    <w:link w:val="Heading6Char"/>
    <w:uiPriority w:val="99"/>
    <w:rsid w:val="00261FB5"/>
    <w:pPr>
      <w:keepNext/>
      <w:outlineLvl w:val="5"/>
    </w:pPr>
    <w:rPr>
      <w:rFonts w:ascii="Arial" w:hAnsi="Arial"/>
      <w:b/>
      <w:sz w:val="32"/>
    </w:rPr>
  </w:style>
  <w:style w:type="paragraph" w:styleId="Heading7">
    <w:name w:val="heading 7"/>
    <w:basedOn w:val="Normal"/>
    <w:next w:val="Normal"/>
    <w:rsid w:val="00261FB5"/>
    <w:pPr>
      <w:keepNext/>
      <w:ind w:left="720"/>
      <w:outlineLvl w:val="6"/>
    </w:pPr>
  </w:style>
  <w:style w:type="paragraph" w:styleId="Heading8">
    <w:name w:val="heading 8"/>
    <w:basedOn w:val="Normal"/>
    <w:next w:val="Normal"/>
    <w:rsid w:val="00261FB5"/>
    <w:pPr>
      <w:keepNext/>
      <w:jc w:val="both"/>
      <w:outlineLvl w:val="7"/>
    </w:pPr>
    <w:rPr>
      <w:i/>
    </w:rPr>
  </w:style>
  <w:style w:type="paragraph" w:styleId="Heading9">
    <w:name w:val="heading 9"/>
    <w:basedOn w:val="Normal"/>
    <w:next w:val="Normal"/>
    <w:link w:val="Heading9Char"/>
    <w:semiHidden/>
    <w:unhideWhenUsed/>
    <w:qFormat/>
    <w:rsid w:val="000A6B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1FB5"/>
    <w:pPr>
      <w:tabs>
        <w:tab w:val="center" w:pos="4320"/>
        <w:tab w:val="right" w:pos="8640"/>
      </w:tabs>
    </w:pPr>
  </w:style>
  <w:style w:type="paragraph" w:styleId="Footer">
    <w:name w:val="footer"/>
    <w:basedOn w:val="Normal"/>
    <w:link w:val="FooterChar"/>
    <w:uiPriority w:val="99"/>
    <w:rsid w:val="00261FB5"/>
    <w:pPr>
      <w:tabs>
        <w:tab w:val="center" w:pos="4320"/>
        <w:tab w:val="right" w:pos="8640"/>
      </w:tabs>
    </w:pPr>
  </w:style>
  <w:style w:type="character" w:styleId="PageNumber">
    <w:name w:val="page number"/>
    <w:basedOn w:val="DefaultParagraphFont"/>
    <w:rsid w:val="00261FB5"/>
  </w:style>
  <w:style w:type="character" w:styleId="FootnoteReference">
    <w:name w:val="footnote reference"/>
    <w:semiHidden/>
    <w:rsid w:val="00261FB5"/>
  </w:style>
  <w:style w:type="paragraph" w:customStyle="1" w:styleId="Level1">
    <w:name w:val="Level 1"/>
    <w:basedOn w:val="Normal"/>
    <w:rsid w:val="00261FB5"/>
    <w:pPr>
      <w:widowControl w:val="0"/>
    </w:pPr>
    <w:rPr>
      <w:snapToGrid w:val="0"/>
    </w:rPr>
  </w:style>
  <w:style w:type="paragraph" w:styleId="Title">
    <w:name w:val="Title"/>
    <w:basedOn w:val="Normal"/>
    <w:rsid w:val="00261FB5"/>
    <w:pPr>
      <w:jc w:val="center"/>
    </w:pPr>
    <w:rPr>
      <w:b/>
      <w:sz w:val="28"/>
    </w:rPr>
  </w:style>
  <w:style w:type="paragraph" w:styleId="TOC1">
    <w:name w:val="toc 1"/>
    <w:basedOn w:val="Normal"/>
    <w:next w:val="Normal"/>
    <w:autoRedefine/>
    <w:uiPriority w:val="39"/>
    <w:rsid w:val="00261FB5"/>
    <w:pPr>
      <w:tabs>
        <w:tab w:val="right" w:leader="dot" w:pos="9350"/>
      </w:tabs>
      <w:ind w:left="630" w:hanging="630"/>
    </w:pPr>
    <w:rPr>
      <w:noProof/>
    </w:rPr>
  </w:style>
  <w:style w:type="paragraph" w:styleId="TOC2">
    <w:name w:val="toc 2"/>
    <w:basedOn w:val="Normal"/>
    <w:next w:val="Normal"/>
    <w:autoRedefine/>
    <w:uiPriority w:val="39"/>
    <w:rsid w:val="00261FB5"/>
    <w:pPr>
      <w:tabs>
        <w:tab w:val="left" w:pos="630"/>
        <w:tab w:val="left" w:pos="1260"/>
        <w:tab w:val="right" w:leader="dot" w:pos="9350"/>
      </w:tabs>
      <w:ind w:left="200"/>
    </w:pPr>
    <w:rPr>
      <w:noProof/>
    </w:rPr>
  </w:style>
  <w:style w:type="paragraph" w:styleId="TOC3">
    <w:name w:val="toc 3"/>
    <w:basedOn w:val="Normal"/>
    <w:next w:val="Normal"/>
    <w:autoRedefine/>
    <w:uiPriority w:val="39"/>
    <w:rsid w:val="00261FB5"/>
    <w:pPr>
      <w:tabs>
        <w:tab w:val="left" w:pos="1800"/>
        <w:tab w:val="right" w:leader="dot" w:pos="9350"/>
      </w:tabs>
      <w:ind w:left="1260" w:hanging="860"/>
    </w:pPr>
    <w:rPr>
      <w:noProof/>
    </w:rPr>
  </w:style>
  <w:style w:type="paragraph" w:styleId="FootnoteText">
    <w:name w:val="footnote text"/>
    <w:basedOn w:val="Normal"/>
    <w:link w:val="FootnoteTextChar"/>
    <w:semiHidden/>
    <w:rsid w:val="00261FB5"/>
  </w:style>
  <w:style w:type="paragraph" w:styleId="BodyText3">
    <w:name w:val="Body Text 3"/>
    <w:basedOn w:val="Normal"/>
    <w:rsid w:val="00261FB5"/>
    <w:pPr>
      <w:widowControl w:val="0"/>
      <w:jc w:val="both"/>
    </w:pPr>
    <w:rPr>
      <w:snapToGrid w:val="0"/>
    </w:rPr>
  </w:style>
  <w:style w:type="paragraph" w:styleId="BodyText2">
    <w:name w:val="Body Text 2"/>
    <w:basedOn w:val="Normal"/>
    <w:rsid w:val="00261FB5"/>
    <w:rPr>
      <w:u w:val="single"/>
    </w:rPr>
  </w:style>
  <w:style w:type="paragraph" w:styleId="BodyText">
    <w:name w:val="Body Text"/>
    <w:basedOn w:val="Normal"/>
    <w:link w:val="BodyTextChar"/>
    <w:rsid w:val="00261FB5"/>
    <w:pPr>
      <w:spacing w:line="480" w:lineRule="auto"/>
    </w:pPr>
  </w:style>
  <w:style w:type="paragraph" w:styleId="BodyTextIndent2">
    <w:name w:val="Body Text Indent 2"/>
    <w:basedOn w:val="Normal"/>
    <w:rsid w:val="00261FB5"/>
    <w:pPr>
      <w:ind w:left="720" w:hanging="720"/>
    </w:pPr>
  </w:style>
  <w:style w:type="character" w:styleId="CommentReference">
    <w:name w:val="annotation reference"/>
    <w:semiHidden/>
    <w:rsid w:val="00261FB5"/>
    <w:rPr>
      <w:sz w:val="16"/>
    </w:rPr>
  </w:style>
  <w:style w:type="paragraph" w:styleId="BodyTextIndent">
    <w:name w:val="Body Text Indent"/>
    <w:basedOn w:val="Normal"/>
    <w:link w:val="BodyTextIndentChar"/>
    <w:rsid w:val="00261FB5"/>
    <w:pPr>
      <w:ind w:left="720"/>
    </w:pPr>
  </w:style>
  <w:style w:type="paragraph" w:styleId="BodyTextIndent3">
    <w:name w:val="Body Text Indent 3"/>
    <w:basedOn w:val="Normal"/>
    <w:rsid w:val="00261FB5"/>
    <w:pPr>
      <w:ind w:left="720"/>
    </w:pPr>
    <w:rPr>
      <w:i/>
    </w:rPr>
  </w:style>
  <w:style w:type="paragraph" w:styleId="CommentText">
    <w:name w:val="annotation text"/>
    <w:basedOn w:val="Normal"/>
    <w:link w:val="CommentTextChar"/>
    <w:semiHidden/>
    <w:rsid w:val="00261FB5"/>
    <w:pPr>
      <w:widowControl w:val="0"/>
    </w:pPr>
    <w:rPr>
      <w:snapToGrid w:val="0"/>
    </w:rPr>
  </w:style>
  <w:style w:type="paragraph" w:styleId="ListParagraph">
    <w:name w:val="List Paragraph"/>
    <w:basedOn w:val="Normal"/>
    <w:link w:val="ListParagraphChar"/>
    <w:rsid w:val="003F5935"/>
    <w:pPr>
      <w:spacing w:after="200" w:line="276" w:lineRule="auto"/>
      <w:ind w:left="720"/>
      <w:contextualSpacing/>
    </w:pPr>
    <w:rPr>
      <w:rFonts w:ascii="Calibri" w:eastAsia="Calibri" w:hAnsi="Calibri"/>
      <w:sz w:val="22"/>
    </w:rPr>
  </w:style>
  <w:style w:type="character" w:styleId="HTMLDefinition">
    <w:name w:val="HTML Definition"/>
    <w:uiPriority w:val="99"/>
    <w:unhideWhenUsed/>
    <w:rsid w:val="003F5935"/>
    <w:rPr>
      <w:i/>
      <w:iCs/>
    </w:rPr>
  </w:style>
  <w:style w:type="character" w:customStyle="1" w:styleId="HeaderChar">
    <w:name w:val="Header Char"/>
    <w:link w:val="Header"/>
    <w:uiPriority w:val="99"/>
    <w:rsid w:val="003F5935"/>
    <w:rPr>
      <w:sz w:val="24"/>
      <w:lang w:val="en-US" w:eastAsia="en-US"/>
    </w:rPr>
  </w:style>
  <w:style w:type="character" w:customStyle="1" w:styleId="FooterChar">
    <w:name w:val="Footer Char"/>
    <w:link w:val="Footer"/>
    <w:uiPriority w:val="99"/>
    <w:rsid w:val="003F5935"/>
    <w:rPr>
      <w:sz w:val="24"/>
      <w:lang w:val="en-US" w:eastAsia="en-US"/>
    </w:rPr>
  </w:style>
  <w:style w:type="character" w:customStyle="1" w:styleId="BodyTextChar">
    <w:name w:val="Body Text Char"/>
    <w:link w:val="BodyText"/>
    <w:rsid w:val="003F5935"/>
    <w:rPr>
      <w:sz w:val="24"/>
      <w:lang w:val="en-US" w:eastAsia="en-US"/>
    </w:rPr>
  </w:style>
  <w:style w:type="character" w:customStyle="1" w:styleId="BodyTextIndentChar">
    <w:name w:val="Body Text Indent Char"/>
    <w:link w:val="BodyTextIndent"/>
    <w:rsid w:val="003F5935"/>
    <w:rPr>
      <w:sz w:val="24"/>
      <w:lang w:val="en-US" w:eastAsia="en-US"/>
    </w:rPr>
  </w:style>
  <w:style w:type="character" w:customStyle="1" w:styleId="FootnoteTextChar">
    <w:name w:val="Footnote Text Char"/>
    <w:link w:val="FootnoteText"/>
    <w:semiHidden/>
    <w:rsid w:val="003F5935"/>
    <w:rPr>
      <w:sz w:val="24"/>
      <w:lang w:eastAsia="en-US"/>
    </w:rPr>
  </w:style>
  <w:style w:type="paragraph" w:styleId="BalloonText">
    <w:name w:val="Balloon Text"/>
    <w:basedOn w:val="Normal"/>
    <w:link w:val="BalloonTextChar"/>
    <w:uiPriority w:val="99"/>
    <w:unhideWhenUsed/>
    <w:rsid w:val="003F5935"/>
    <w:rPr>
      <w:rFonts w:ascii="Tahoma" w:eastAsia="Calibri" w:hAnsi="Tahoma" w:cs="Tahoma"/>
      <w:sz w:val="16"/>
      <w:szCs w:val="16"/>
    </w:rPr>
  </w:style>
  <w:style w:type="character" w:customStyle="1" w:styleId="BalloonTextChar">
    <w:name w:val="Balloon Text Char"/>
    <w:link w:val="BalloonText"/>
    <w:uiPriority w:val="99"/>
    <w:rsid w:val="003F5935"/>
    <w:rPr>
      <w:rFonts w:ascii="Tahoma" w:eastAsia="Calibri" w:hAnsi="Tahoma" w:cs="Tahoma"/>
      <w:sz w:val="16"/>
      <w:szCs w:val="16"/>
      <w:lang w:val="en-US" w:eastAsia="en-US"/>
    </w:rPr>
  </w:style>
  <w:style w:type="character" w:customStyle="1" w:styleId="Heading2Char">
    <w:name w:val="Heading 2 Char"/>
    <w:link w:val="Heading2"/>
    <w:uiPriority w:val="99"/>
    <w:rsid w:val="003F5935"/>
    <w:rPr>
      <w:rFonts w:ascii="Arial" w:hAnsi="Arial"/>
      <w:b/>
      <w:sz w:val="24"/>
      <w:lang w:val="en-US" w:eastAsia="en-US"/>
    </w:rPr>
  </w:style>
  <w:style w:type="paragraph" w:customStyle="1" w:styleId="HCh">
    <w:name w:val="_ H _Ch"/>
    <w:basedOn w:val="Normal"/>
    <w:next w:val="Normal"/>
    <w:rsid w:val="003F5935"/>
    <w:pPr>
      <w:keepNext/>
      <w:keepLines/>
      <w:suppressAutoHyphens/>
      <w:spacing w:line="300" w:lineRule="exact"/>
      <w:outlineLvl w:val="0"/>
    </w:pPr>
    <w:rPr>
      <w:b/>
      <w:spacing w:val="-2"/>
      <w:w w:val="103"/>
      <w:kern w:val="14"/>
      <w:sz w:val="28"/>
    </w:rPr>
  </w:style>
  <w:style w:type="paragraph" w:customStyle="1" w:styleId="SingleTxt">
    <w:name w:val="__Single Txt"/>
    <w:basedOn w:val="Normal"/>
    <w:rsid w:val="003F593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paragraph" w:styleId="TableofFigures">
    <w:name w:val="table of figures"/>
    <w:basedOn w:val="Normal"/>
    <w:next w:val="Normal"/>
    <w:uiPriority w:val="99"/>
    <w:rsid w:val="003F5935"/>
    <w:rPr>
      <w:szCs w:val="24"/>
    </w:rPr>
  </w:style>
  <w:style w:type="paragraph" w:customStyle="1" w:styleId="HChChar">
    <w:name w:val="_ H _Ch Char"/>
    <w:basedOn w:val="Normal"/>
    <w:next w:val="Normal"/>
    <w:rsid w:val="003F5935"/>
    <w:pPr>
      <w:keepNext/>
      <w:keepLines/>
      <w:suppressAutoHyphens/>
      <w:spacing w:line="300" w:lineRule="exact"/>
      <w:outlineLvl w:val="0"/>
    </w:pPr>
    <w:rPr>
      <w:b/>
      <w:spacing w:val="-2"/>
      <w:w w:val="103"/>
      <w:kern w:val="14"/>
      <w:sz w:val="28"/>
    </w:rPr>
  </w:style>
  <w:style w:type="table" w:styleId="TableGrid">
    <w:name w:val="Table Grid"/>
    <w:basedOn w:val="TableNormal"/>
    <w:uiPriority w:val="59"/>
    <w:rsid w:val="003F5935"/>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F5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3F5935"/>
    <w:rPr>
      <w:rFonts w:ascii="Courier New" w:hAnsi="Courier New" w:cs="Courier New"/>
      <w:lang w:val="en-US" w:eastAsia="en-US"/>
    </w:rPr>
  </w:style>
  <w:style w:type="paragraph" w:customStyle="1" w:styleId="Text">
    <w:name w:val="Text"/>
    <w:basedOn w:val="Normal"/>
    <w:rsid w:val="006924CF"/>
    <w:pPr>
      <w:overflowPunct w:val="0"/>
      <w:autoSpaceDE w:val="0"/>
      <w:autoSpaceDN w:val="0"/>
      <w:adjustRightInd w:val="0"/>
      <w:spacing w:line="360" w:lineRule="atLeast"/>
    </w:pPr>
    <w:rPr>
      <w:rFonts w:ascii="Helvetica" w:hAnsi="Helvetica"/>
      <w:sz w:val="22"/>
    </w:rPr>
  </w:style>
  <w:style w:type="character" w:customStyle="1" w:styleId="Heading4Char">
    <w:name w:val="Heading 4 Char"/>
    <w:link w:val="Heading4"/>
    <w:uiPriority w:val="99"/>
    <w:rsid w:val="005558C0"/>
    <w:rPr>
      <w:sz w:val="24"/>
      <w:u w:val="single"/>
      <w:lang w:val="en-US" w:eastAsia="en-US"/>
    </w:rPr>
  </w:style>
  <w:style w:type="character" w:customStyle="1" w:styleId="Heading1Char">
    <w:name w:val="Heading 1 Char"/>
    <w:link w:val="Heading1"/>
    <w:uiPriority w:val="99"/>
    <w:rsid w:val="00997A23"/>
    <w:rPr>
      <w:rFonts w:ascii="Arial" w:hAnsi="Arial"/>
      <w:b/>
      <w:sz w:val="28"/>
      <w:lang w:val="en-US" w:eastAsia="en-US"/>
    </w:rPr>
  </w:style>
  <w:style w:type="character" w:customStyle="1" w:styleId="Heading3Char">
    <w:name w:val="Heading 3 Char"/>
    <w:link w:val="Heading3"/>
    <w:uiPriority w:val="99"/>
    <w:rsid w:val="00997A23"/>
    <w:rPr>
      <w:b/>
      <w:sz w:val="24"/>
      <w:lang w:val="en-US" w:eastAsia="en-US"/>
    </w:rPr>
  </w:style>
  <w:style w:type="character" w:customStyle="1" w:styleId="Heading6Char">
    <w:name w:val="Heading 6 Char"/>
    <w:link w:val="Heading6"/>
    <w:uiPriority w:val="99"/>
    <w:rsid w:val="00997A23"/>
    <w:rPr>
      <w:rFonts w:ascii="Arial" w:hAnsi="Arial"/>
      <w:b/>
      <w:sz w:val="32"/>
      <w:lang w:val="en-US" w:eastAsia="en-US"/>
    </w:rPr>
  </w:style>
  <w:style w:type="paragraph" w:customStyle="1" w:styleId="ColorfulList-Accent11">
    <w:name w:val="Colorful List - Accent 11"/>
    <w:basedOn w:val="Normal"/>
    <w:rsid w:val="00BC558D"/>
    <w:pPr>
      <w:ind w:left="720"/>
    </w:pPr>
    <w:rPr>
      <w:rFonts w:ascii="Calibri" w:hAnsi="Calibri"/>
      <w:sz w:val="22"/>
    </w:rPr>
  </w:style>
  <w:style w:type="paragraph" w:styleId="CommentSubject">
    <w:name w:val="annotation subject"/>
    <w:basedOn w:val="CommentText"/>
    <w:next w:val="CommentText"/>
    <w:link w:val="CommentSubjectChar"/>
    <w:rsid w:val="00BB2683"/>
    <w:pPr>
      <w:widowControl/>
    </w:pPr>
    <w:rPr>
      <w:b/>
      <w:bCs/>
      <w:snapToGrid/>
    </w:rPr>
  </w:style>
  <w:style w:type="character" w:customStyle="1" w:styleId="CommentTextChar">
    <w:name w:val="Comment Text Char"/>
    <w:basedOn w:val="DefaultParagraphFont"/>
    <w:link w:val="CommentText"/>
    <w:semiHidden/>
    <w:rsid w:val="00BB2683"/>
    <w:rPr>
      <w:snapToGrid w:val="0"/>
      <w:sz w:val="24"/>
    </w:rPr>
  </w:style>
  <w:style w:type="character" w:customStyle="1" w:styleId="CommentSubjectChar">
    <w:name w:val="Comment Subject Char"/>
    <w:basedOn w:val="CommentTextChar"/>
    <w:link w:val="CommentSubject"/>
    <w:rsid w:val="00BB2683"/>
    <w:rPr>
      <w:snapToGrid w:val="0"/>
      <w:sz w:val="24"/>
    </w:rPr>
  </w:style>
  <w:style w:type="paragraph" w:customStyle="1" w:styleId="NUM1para">
    <w:name w:val="NUM 1 para"/>
    <w:basedOn w:val="ListNumber"/>
    <w:link w:val="NUM1paraChar"/>
    <w:qFormat/>
    <w:rsid w:val="00EB1165"/>
    <w:pPr>
      <w:tabs>
        <w:tab w:val="left" w:pos="1800"/>
      </w:tabs>
      <w:spacing w:after="120"/>
      <w:ind w:left="1267" w:right="547" w:firstLine="0"/>
      <w:contextualSpacing w:val="0"/>
      <w:jc w:val="both"/>
    </w:pPr>
  </w:style>
  <w:style w:type="paragraph" w:customStyle="1" w:styleId="Heading11">
    <w:name w:val="Heading 11"/>
    <w:basedOn w:val="Heading1"/>
    <w:link w:val="HEADING1Char0"/>
    <w:qFormat/>
    <w:rsid w:val="006F63D6"/>
    <w:pPr>
      <w:numPr>
        <w:numId w:val="3"/>
      </w:numPr>
      <w:spacing w:before="240" w:after="120"/>
      <w:ind w:left="1267" w:right="547"/>
      <w:jc w:val="both"/>
    </w:pPr>
    <w:rPr>
      <w:rFonts w:ascii="Times New Roman" w:hAnsi="Times New Roman"/>
      <w:szCs w:val="28"/>
    </w:rPr>
  </w:style>
  <w:style w:type="character" w:customStyle="1" w:styleId="NUM1paraChar">
    <w:name w:val="NUM 1 para Char"/>
    <w:basedOn w:val="DefaultParagraphFont"/>
    <w:link w:val="NUM1para"/>
    <w:rsid w:val="00EB1165"/>
    <w:rPr>
      <w:lang w:val="en-GB"/>
    </w:rPr>
  </w:style>
  <w:style w:type="paragraph" w:customStyle="1" w:styleId="Heading21">
    <w:name w:val="Heading 21"/>
    <w:basedOn w:val="Heading2"/>
    <w:link w:val="HEADING2Char0"/>
    <w:qFormat/>
    <w:rsid w:val="00F93469"/>
    <w:pPr>
      <w:keepLines/>
      <w:numPr>
        <w:numId w:val="13"/>
      </w:numPr>
      <w:spacing w:before="120" w:after="120"/>
      <w:ind w:left="1267" w:right="547" w:hanging="547"/>
      <w:jc w:val="both"/>
    </w:pPr>
    <w:rPr>
      <w:rFonts w:ascii="Times New Roman" w:hAnsi="Times New Roman"/>
      <w:sz w:val="24"/>
      <w:szCs w:val="24"/>
    </w:rPr>
  </w:style>
  <w:style w:type="character" w:customStyle="1" w:styleId="ListParagraphChar">
    <w:name w:val="List Paragraph Char"/>
    <w:basedOn w:val="DefaultParagraphFont"/>
    <w:link w:val="ListParagraph"/>
    <w:rsid w:val="00AD434E"/>
    <w:rPr>
      <w:rFonts w:ascii="Calibri" w:eastAsia="Calibri" w:hAnsi="Calibri"/>
      <w:sz w:val="22"/>
      <w:szCs w:val="22"/>
    </w:rPr>
  </w:style>
  <w:style w:type="character" w:customStyle="1" w:styleId="HEADING1Char0">
    <w:name w:val="HEADING 1 Char"/>
    <w:basedOn w:val="ListParagraphChar"/>
    <w:link w:val="Heading11"/>
    <w:rsid w:val="006F63D6"/>
    <w:rPr>
      <w:rFonts w:ascii="Calibri" w:eastAsia="Calibri" w:hAnsi="Calibri"/>
      <w:b/>
      <w:sz w:val="28"/>
      <w:szCs w:val="28"/>
      <w:lang w:val="en-GB"/>
    </w:rPr>
  </w:style>
  <w:style w:type="paragraph" w:customStyle="1" w:styleId="NUMapara">
    <w:name w:val="NUM (a) para"/>
    <w:basedOn w:val="ListNumber2"/>
    <w:link w:val="NUMaparaChar"/>
    <w:qFormat/>
    <w:rsid w:val="00EB1165"/>
    <w:pPr>
      <w:numPr>
        <w:numId w:val="7"/>
      </w:numPr>
      <w:tabs>
        <w:tab w:val="left" w:pos="1620"/>
      </w:tabs>
      <w:spacing w:after="80"/>
      <w:ind w:left="1627" w:right="547"/>
      <w:contextualSpacing w:val="0"/>
      <w:jc w:val="both"/>
    </w:pPr>
  </w:style>
  <w:style w:type="character" w:customStyle="1" w:styleId="HEADING2Char0">
    <w:name w:val="HEADING 2 Char"/>
    <w:basedOn w:val="BodyTextChar"/>
    <w:link w:val="Heading21"/>
    <w:rsid w:val="00F93469"/>
    <w:rPr>
      <w:b/>
      <w:sz w:val="24"/>
      <w:szCs w:val="24"/>
      <w:lang w:val="en-US" w:eastAsia="en-US"/>
    </w:rPr>
  </w:style>
  <w:style w:type="paragraph" w:customStyle="1" w:styleId="NUMipara">
    <w:name w:val="NUM (i) para"/>
    <w:basedOn w:val="NUMapara"/>
    <w:link w:val="NUMiparaChar"/>
    <w:qFormat/>
    <w:rsid w:val="00BD0A90"/>
    <w:pPr>
      <w:numPr>
        <w:ilvl w:val="1"/>
      </w:numPr>
      <w:tabs>
        <w:tab w:val="left" w:pos="2250"/>
      </w:tabs>
      <w:ind w:left="2250" w:hanging="450"/>
    </w:pPr>
    <w:rPr>
      <w:rFonts w:eastAsia="Calibri"/>
    </w:rPr>
  </w:style>
  <w:style w:type="character" w:customStyle="1" w:styleId="NUMaparaChar">
    <w:name w:val="NUM (a) para Char"/>
    <w:basedOn w:val="ListParagraphChar"/>
    <w:link w:val="NUMapara"/>
    <w:rsid w:val="00EB1165"/>
    <w:rPr>
      <w:rFonts w:ascii="Calibri" w:eastAsia="Calibri" w:hAnsi="Calibri"/>
      <w:sz w:val="22"/>
      <w:szCs w:val="22"/>
      <w:lang w:val="en-GB"/>
    </w:rPr>
  </w:style>
  <w:style w:type="paragraph" w:customStyle="1" w:styleId="FIGURE">
    <w:name w:val="FIGURE"/>
    <w:basedOn w:val="TableofFigures"/>
    <w:link w:val="FIGUREChar"/>
    <w:qFormat/>
    <w:rsid w:val="0098200F"/>
    <w:pPr>
      <w:keepNext/>
      <w:tabs>
        <w:tab w:val="left" w:pos="1890"/>
      </w:tabs>
      <w:spacing w:before="240" w:after="120"/>
      <w:ind w:left="1267" w:right="540"/>
      <w:jc w:val="center"/>
    </w:pPr>
    <w:rPr>
      <w:b/>
      <w:szCs w:val="20"/>
    </w:rPr>
  </w:style>
  <w:style w:type="character" w:customStyle="1" w:styleId="NUMiparaChar">
    <w:name w:val="NUM (i) para Char"/>
    <w:basedOn w:val="NUMaparaChar"/>
    <w:link w:val="NUMipara"/>
    <w:rsid w:val="00BD0A90"/>
    <w:rPr>
      <w:rFonts w:ascii="Calibri" w:eastAsia="Calibri" w:hAnsi="Calibri"/>
      <w:sz w:val="24"/>
      <w:szCs w:val="24"/>
      <w:lang w:val="en-GB"/>
    </w:rPr>
  </w:style>
  <w:style w:type="character" w:customStyle="1" w:styleId="FIGUREChar">
    <w:name w:val="FIGURE Char"/>
    <w:basedOn w:val="DefaultParagraphFont"/>
    <w:link w:val="FIGURE"/>
    <w:rsid w:val="0098200F"/>
    <w:rPr>
      <w:b/>
      <w:lang w:val="en-GB"/>
    </w:rPr>
  </w:style>
  <w:style w:type="paragraph" w:styleId="TOCHeading">
    <w:name w:val="TOC Heading"/>
    <w:basedOn w:val="Heading1"/>
    <w:next w:val="Normal"/>
    <w:uiPriority w:val="39"/>
    <w:unhideWhenUsed/>
    <w:qFormat/>
    <w:rsid w:val="001361D6"/>
    <w:pPr>
      <w:keepLines/>
      <w:spacing w:before="240" w:line="259" w:lineRule="auto"/>
      <w:outlineLvl w:val="9"/>
    </w:pPr>
    <w:rPr>
      <w:rFonts w:ascii="Times New Roman" w:eastAsiaTheme="majorEastAsia" w:hAnsi="Times New Roman"/>
      <w:sz w:val="20"/>
    </w:rPr>
  </w:style>
  <w:style w:type="paragraph" w:styleId="BodyTextFirstIndent">
    <w:name w:val="Body Text First Indent"/>
    <w:basedOn w:val="BodyText"/>
    <w:link w:val="BodyTextFirstIndentChar"/>
    <w:rsid w:val="0003643E"/>
    <w:pPr>
      <w:spacing w:line="240" w:lineRule="auto"/>
      <w:ind w:firstLine="360"/>
    </w:pPr>
  </w:style>
  <w:style w:type="character" w:customStyle="1" w:styleId="BodyTextFirstIndentChar">
    <w:name w:val="Body Text First Indent Char"/>
    <w:basedOn w:val="BodyTextChar"/>
    <w:link w:val="BodyTextFirstIndent"/>
    <w:rsid w:val="0003643E"/>
    <w:rPr>
      <w:sz w:val="24"/>
      <w:lang w:val="en-US" w:eastAsia="en-US"/>
    </w:rPr>
  </w:style>
  <w:style w:type="character" w:customStyle="1" w:styleId="Heading9Char">
    <w:name w:val="Heading 9 Char"/>
    <w:basedOn w:val="DefaultParagraphFont"/>
    <w:link w:val="Heading9"/>
    <w:semiHidden/>
    <w:rsid w:val="000A6BD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7055E"/>
    <w:rPr>
      <w:color w:val="0000FF" w:themeColor="hyperlink"/>
      <w:u w:val="single"/>
    </w:rPr>
  </w:style>
  <w:style w:type="paragraph" w:styleId="ListNumber">
    <w:name w:val="List Number"/>
    <w:basedOn w:val="Normal"/>
    <w:rsid w:val="004D3F55"/>
    <w:pPr>
      <w:numPr>
        <w:numId w:val="10"/>
      </w:numPr>
      <w:contextualSpacing/>
    </w:pPr>
  </w:style>
  <w:style w:type="paragraph" w:styleId="ListNumber2">
    <w:name w:val="List Number 2"/>
    <w:basedOn w:val="Normal"/>
    <w:semiHidden/>
    <w:unhideWhenUsed/>
    <w:rsid w:val="00BC0585"/>
    <w:pPr>
      <w:numPr>
        <w:numId w:val="11"/>
      </w:numPr>
      <w:contextualSpacing/>
    </w:pPr>
  </w:style>
  <w:style w:type="paragraph" w:customStyle="1" w:styleId="Footnote">
    <w:name w:val="Footnote"/>
    <w:basedOn w:val="FootnoteText"/>
    <w:link w:val="FootnoteChar"/>
    <w:qFormat/>
    <w:rsid w:val="00A5763F"/>
    <w:pPr>
      <w:ind w:left="1260"/>
    </w:pPr>
    <w:rPr>
      <w:sz w:val="16"/>
    </w:rPr>
  </w:style>
  <w:style w:type="character" w:customStyle="1" w:styleId="FootnoteChar">
    <w:name w:val="Footnote Char"/>
    <w:basedOn w:val="FootnoteTextChar"/>
    <w:link w:val="Footnote"/>
    <w:rsid w:val="00A5763F"/>
    <w:rPr>
      <w:sz w:val="16"/>
      <w:lang w:eastAsia="en-US"/>
    </w:rPr>
  </w:style>
  <w:style w:type="paragraph" w:styleId="EndnoteText">
    <w:name w:val="endnote text"/>
    <w:basedOn w:val="Normal"/>
    <w:link w:val="EndnoteTextChar"/>
    <w:semiHidden/>
    <w:unhideWhenUsed/>
    <w:rsid w:val="00A3654A"/>
  </w:style>
  <w:style w:type="character" w:customStyle="1" w:styleId="EndnoteTextChar">
    <w:name w:val="Endnote Text Char"/>
    <w:basedOn w:val="DefaultParagraphFont"/>
    <w:link w:val="EndnoteText"/>
    <w:semiHidden/>
    <w:rsid w:val="00A3654A"/>
    <w:rPr>
      <w:lang w:val="en-GB"/>
    </w:rPr>
  </w:style>
  <w:style w:type="character" w:styleId="EndnoteReference">
    <w:name w:val="endnote reference"/>
    <w:basedOn w:val="DefaultParagraphFont"/>
    <w:semiHidden/>
    <w:unhideWhenUsed/>
    <w:rsid w:val="00A3654A"/>
    <w:rPr>
      <w:vertAlign w:val="superscript"/>
    </w:rPr>
  </w:style>
  <w:style w:type="paragraph" w:customStyle="1" w:styleId="Headingitalics">
    <w:name w:val="Heading italics"/>
    <w:basedOn w:val="Heading5"/>
    <w:link w:val="HeadingitalicsChar"/>
    <w:qFormat/>
    <w:rsid w:val="00D646AB"/>
    <w:pPr>
      <w:numPr>
        <w:numId w:val="0"/>
      </w:numPr>
      <w:spacing w:before="120" w:after="120"/>
      <w:ind w:left="1264"/>
      <w:jc w:val="left"/>
    </w:pPr>
    <w:rPr>
      <w:b/>
      <w:i/>
      <w:u w:val="none"/>
    </w:rPr>
  </w:style>
  <w:style w:type="table" w:customStyle="1" w:styleId="PlainTable21">
    <w:name w:val="Plain Table 21"/>
    <w:basedOn w:val="TableNormal"/>
    <w:uiPriority w:val="42"/>
    <w:rsid w:val="00CC236A"/>
    <w:rPr>
      <w:rFonts w:asciiTheme="minorHAnsi" w:eastAsiaTheme="minorHAnsi" w:hAnsiTheme="minorHAnsi" w:cstheme="minorBid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italicsChar">
    <w:name w:val="Heading italics Char"/>
    <w:basedOn w:val="HEADING2Char0"/>
    <w:link w:val="Headingitalics"/>
    <w:rsid w:val="00D646AB"/>
    <w:rPr>
      <w:b/>
      <w:i/>
      <w:sz w:val="24"/>
      <w:szCs w:val="24"/>
      <w:lang w:val="en-US" w:eastAsia="en-US"/>
    </w:rPr>
  </w:style>
  <w:style w:type="paragraph" w:styleId="Revision">
    <w:name w:val="Revision"/>
    <w:hidden/>
    <w:uiPriority w:val="99"/>
    <w:semiHidden/>
    <w:rsid w:val="004E1C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16942">
      <w:bodyDiv w:val="1"/>
      <w:marLeft w:val="0"/>
      <w:marRight w:val="0"/>
      <w:marTop w:val="0"/>
      <w:marBottom w:val="0"/>
      <w:divBdr>
        <w:top w:val="none" w:sz="0" w:space="0" w:color="auto"/>
        <w:left w:val="none" w:sz="0" w:space="0" w:color="auto"/>
        <w:bottom w:val="none" w:sz="0" w:space="0" w:color="auto"/>
        <w:right w:val="none" w:sz="0" w:space="0" w:color="auto"/>
      </w:divBdr>
    </w:div>
    <w:div w:id="515535047">
      <w:bodyDiv w:val="1"/>
      <w:marLeft w:val="0"/>
      <w:marRight w:val="0"/>
      <w:marTop w:val="0"/>
      <w:marBottom w:val="0"/>
      <w:divBdr>
        <w:top w:val="none" w:sz="0" w:space="0" w:color="auto"/>
        <w:left w:val="none" w:sz="0" w:space="0" w:color="auto"/>
        <w:bottom w:val="none" w:sz="0" w:space="0" w:color="auto"/>
        <w:right w:val="none" w:sz="0" w:space="0" w:color="auto"/>
      </w:divBdr>
    </w:div>
    <w:div w:id="1464612193">
      <w:bodyDiv w:val="1"/>
      <w:marLeft w:val="0"/>
      <w:marRight w:val="0"/>
      <w:marTop w:val="0"/>
      <w:marBottom w:val="0"/>
      <w:divBdr>
        <w:top w:val="none" w:sz="0" w:space="0" w:color="auto"/>
        <w:left w:val="none" w:sz="0" w:space="0" w:color="auto"/>
        <w:bottom w:val="none" w:sz="0" w:space="0" w:color="auto"/>
        <w:right w:val="none" w:sz="0" w:space="0" w:color="auto"/>
      </w:divBdr>
    </w:div>
    <w:div w:id="1864248552">
      <w:bodyDiv w:val="1"/>
      <w:marLeft w:val="0"/>
      <w:marRight w:val="0"/>
      <w:marTop w:val="0"/>
      <w:marBottom w:val="0"/>
      <w:divBdr>
        <w:top w:val="none" w:sz="0" w:space="0" w:color="auto"/>
        <w:left w:val="none" w:sz="0" w:space="0" w:color="auto"/>
        <w:bottom w:val="none" w:sz="0" w:space="0" w:color="auto"/>
        <w:right w:val="none" w:sz="0" w:space="0" w:color="auto"/>
      </w:divBdr>
    </w:div>
    <w:div w:id="19264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AR:Desktop:Figure6%20-%20EO%20annual%20report%202017%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'[Chart in Microsoft Word]KPI 5 - Quality'!$B$5</c:f>
              <c:strCache>
                <c:ptCount val="1"/>
                <c:pt idx="0">
                  <c:v>Very Good</c:v>
                </c:pt>
              </c:strCache>
            </c:strRef>
          </c:tx>
          <c:spPr>
            <a:solidFill>
              <a:schemeClr val="tx1">
                <a:lumMod val="50000"/>
                <a:lumOff val="50000"/>
              </a:schemeClr>
            </a:solidFill>
            <a:ln>
              <a:noFill/>
            </a:ln>
            <a:effectLst/>
            <a:sp3d/>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6-5838-4347-B558-6032CCD881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Word]KPI 5 - Quality'!$A$6:$A$14</c:f>
              <c:strCache>
                <c:ptCount val="9"/>
                <c:pt idx="0">
                  <c:v>Asia and the Pacific</c:v>
                </c:pt>
                <c:pt idx="1">
                  <c:v>Arab States</c:v>
                </c:pt>
                <c:pt idx="2">
                  <c:v>Europe and Central Asia</c:v>
                </c:pt>
                <c:pt idx="3">
                  <c:v>East and Southern Africa</c:v>
                </c:pt>
                <c:pt idx="4">
                  <c:v>Latin America and the Caribbean </c:v>
                </c:pt>
                <c:pt idx="5">
                  <c:v>West and Central Africa </c:v>
                </c:pt>
                <c:pt idx="6">
                  <c:v>Regional</c:v>
                </c:pt>
                <c:pt idx="7">
                  <c:v>Corporate</c:v>
                </c:pt>
                <c:pt idx="8">
                  <c:v>Total</c:v>
                </c:pt>
              </c:strCache>
            </c:strRef>
          </c:cat>
          <c:val>
            <c:numRef>
              <c:f>'[Chart in Microsoft Word]KPI 5 - Quality'!$B$6:$B$14</c:f>
              <c:numCache>
                <c:formatCode>General</c:formatCode>
                <c:ptCount val="9"/>
                <c:pt idx="0">
                  <c:v>4</c:v>
                </c:pt>
                <c:pt idx="7">
                  <c:v>1</c:v>
                </c:pt>
                <c:pt idx="8">
                  <c:v>5</c:v>
                </c:pt>
              </c:numCache>
            </c:numRef>
          </c:val>
          <c:extLst>
            <c:ext xmlns:c16="http://schemas.microsoft.com/office/drawing/2014/chart" uri="{C3380CC4-5D6E-409C-BE32-E72D297353CC}">
              <c16:uniqueId val="{00000000-5838-4347-B558-6032CCD88147}"/>
            </c:ext>
          </c:extLst>
        </c:ser>
        <c:ser>
          <c:idx val="1"/>
          <c:order val="1"/>
          <c:tx>
            <c:strRef>
              <c:f>'[Chart in Microsoft Word]KPI 5 - Quality'!$C$5</c:f>
              <c:strCache>
                <c:ptCount val="1"/>
                <c:pt idx="0">
                  <c:v>Good</c:v>
                </c:pt>
              </c:strCache>
            </c:strRef>
          </c:tx>
          <c:spPr>
            <a:solidFill>
              <a:schemeClr val="bg1">
                <a:lumMod val="6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Word]KPI 5 - Quality'!$A$6:$A$14</c:f>
              <c:strCache>
                <c:ptCount val="9"/>
                <c:pt idx="0">
                  <c:v>Asia and the Pacific</c:v>
                </c:pt>
                <c:pt idx="1">
                  <c:v>Arab States</c:v>
                </c:pt>
                <c:pt idx="2">
                  <c:v>Europe and Central Asia</c:v>
                </c:pt>
                <c:pt idx="3">
                  <c:v>East and Southern Africa</c:v>
                </c:pt>
                <c:pt idx="4">
                  <c:v>Latin America and the Caribbean </c:v>
                </c:pt>
                <c:pt idx="5">
                  <c:v>West and Central Africa </c:v>
                </c:pt>
                <c:pt idx="6">
                  <c:v>Regional</c:v>
                </c:pt>
                <c:pt idx="7">
                  <c:v>Corporate</c:v>
                </c:pt>
                <c:pt idx="8">
                  <c:v>Total</c:v>
                </c:pt>
              </c:strCache>
            </c:strRef>
          </c:cat>
          <c:val>
            <c:numRef>
              <c:f>'[Chart in Microsoft Word]KPI 5 - Quality'!$C$6:$C$14</c:f>
              <c:numCache>
                <c:formatCode>General</c:formatCode>
                <c:ptCount val="9"/>
                <c:pt idx="0">
                  <c:v>1</c:v>
                </c:pt>
                <c:pt idx="1">
                  <c:v>2</c:v>
                </c:pt>
                <c:pt idx="2">
                  <c:v>3</c:v>
                </c:pt>
                <c:pt idx="3">
                  <c:v>1</c:v>
                </c:pt>
                <c:pt idx="4">
                  <c:v>3</c:v>
                </c:pt>
                <c:pt idx="5">
                  <c:v>3</c:v>
                </c:pt>
                <c:pt idx="6">
                  <c:v>1</c:v>
                </c:pt>
                <c:pt idx="7">
                  <c:v>2</c:v>
                </c:pt>
                <c:pt idx="8">
                  <c:v>16</c:v>
                </c:pt>
              </c:numCache>
            </c:numRef>
          </c:val>
          <c:extLst>
            <c:ext xmlns:c16="http://schemas.microsoft.com/office/drawing/2014/chart" uri="{C3380CC4-5D6E-409C-BE32-E72D297353CC}">
              <c16:uniqueId val="{00000001-5838-4347-B558-6032CCD88147}"/>
            </c:ext>
          </c:extLst>
        </c:ser>
        <c:ser>
          <c:idx val="2"/>
          <c:order val="2"/>
          <c:tx>
            <c:strRef>
              <c:f>'[Chart in Microsoft Word]KPI 5 - Quality'!$D$5</c:f>
              <c:strCache>
                <c:ptCount val="1"/>
                <c:pt idx="0">
                  <c:v>Fair</c:v>
                </c:pt>
              </c:strCache>
            </c:strRef>
          </c:tx>
          <c:spPr>
            <a:solidFill>
              <a:schemeClr val="bg1">
                <a:lumMod val="85000"/>
              </a:schemeClr>
            </a:solidFill>
            <a:ln>
              <a:noFill/>
            </a:ln>
            <a:effectLst/>
            <a:sp3d/>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5451-4C8D-A3EB-454CF4E90335}"/>
                </c:ext>
              </c:extLst>
            </c:dLbl>
            <c:dLbl>
              <c:idx val="2"/>
              <c:delete val="1"/>
              <c:extLst>
                <c:ext xmlns:c15="http://schemas.microsoft.com/office/drawing/2012/chart" uri="{CE6537A1-D6FC-4f65-9D91-7224C49458BB}"/>
                <c:ext xmlns:c16="http://schemas.microsoft.com/office/drawing/2014/chart" uri="{C3380CC4-5D6E-409C-BE32-E72D297353CC}">
                  <c16:uniqueId val="{00000001-5451-4C8D-A3EB-454CF4E903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Word]KPI 5 - Quality'!$A$6:$A$14</c:f>
              <c:strCache>
                <c:ptCount val="9"/>
                <c:pt idx="0">
                  <c:v>Asia and the Pacific</c:v>
                </c:pt>
                <c:pt idx="1">
                  <c:v>Arab States</c:v>
                </c:pt>
                <c:pt idx="2">
                  <c:v>Europe and Central Asia</c:v>
                </c:pt>
                <c:pt idx="3">
                  <c:v>East and Southern Africa</c:v>
                </c:pt>
                <c:pt idx="4">
                  <c:v>Latin America and the Caribbean </c:v>
                </c:pt>
                <c:pt idx="5">
                  <c:v>West and Central Africa </c:v>
                </c:pt>
                <c:pt idx="6">
                  <c:v>Regional</c:v>
                </c:pt>
                <c:pt idx="7">
                  <c:v>Corporate</c:v>
                </c:pt>
                <c:pt idx="8">
                  <c:v>Total</c:v>
                </c:pt>
              </c:strCache>
            </c:strRef>
          </c:cat>
          <c:val>
            <c:numRef>
              <c:f>'[Chart in Microsoft Word]KPI 5 - Quality'!$D$6:$D$14</c:f>
              <c:numCache>
                <c:formatCode>General</c:formatCode>
                <c:ptCount val="9"/>
                <c:pt idx="3">
                  <c:v>1</c:v>
                </c:pt>
                <c:pt idx="8">
                  <c:v>1</c:v>
                </c:pt>
              </c:numCache>
            </c:numRef>
          </c:val>
          <c:extLst>
            <c:ext xmlns:c16="http://schemas.microsoft.com/office/drawing/2014/chart" uri="{C3380CC4-5D6E-409C-BE32-E72D297353CC}">
              <c16:uniqueId val="{00000002-5838-4347-B558-6032CCD88147}"/>
            </c:ext>
          </c:extLst>
        </c:ser>
        <c:dLbls>
          <c:showLegendKey val="0"/>
          <c:showVal val="1"/>
          <c:showCatName val="0"/>
          <c:showSerName val="0"/>
          <c:showPercent val="0"/>
          <c:showBubbleSize val="0"/>
        </c:dLbls>
        <c:gapWidth val="150"/>
        <c:shape val="box"/>
        <c:axId val="1263985216"/>
        <c:axId val="1014184976"/>
        <c:axId val="0"/>
      </c:bar3DChart>
      <c:catAx>
        <c:axId val="1263985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184976"/>
        <c:crosses val="autoZero"/>
        <c:auto val="1"/>
        <c:lblAlgn val="ctr"/>
        <c:lblOffset val="100"/>
        <c:noMultiLvlLbl val="0"/>
      </c:catAx>
      <c:valAx>
        <c:axId val="1014184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398521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Sheet1!$C$1</c:f>
              <c:strCache>
                <c:ptCount val="1"/>
                <c:pt idx="0">
                  <c:v>2017</c:v>
                </c:pt>
              </c:strCache>
            </c:strRef>
          </c:tx>
          <c:invertIfNegative val="0"/>
          <c:cat>
            <c:strRef>
              <c:f>Sheet1!$B$2:$B$9</c:f>
              <c:strCache>
                <c:ptCount val="8"/>
                <c:pt idx="0">
                  <c:v>Arab States</c:v>
                </c:pt>
                <c:pt idx="1">
                  <c:v>Asia and the Pacific</c:v>
                </c:pt>
                <c:pt idx="2">
                  <c:v>Eastern Europe and Central Asia</c:v>
                </c:pt>
                <c:pt idx="3">
                  <c:v>East and Southern Africa</c:v>
                </c:pt>
                <c:pt idx="4">
                  <c:v>Latin America and the Caribbean</c:v>
                </c:pt>
                <c:pt idx="5">
                  <c:v>West and Central Africa</c:v>
                </c:pt>
                <c:pt idx="6">
                  <c:v>Global</c:v>
                </c:pt>
                <c:pt idx="7">
                  <c:v>Total</c:v>
                </c:pt>
              </c:strCache>
            </c:strRef>
          </c:cat>
          <c:val>
            <c:numRef>
              <c:f>Sheet1!$C$2:$C$9</c:f>
              <c:numCache>
                <c:formatCode>0</c:formatCode>
                <c:ptCount val="8"/>
                <c:pt idx="0">
                  <c:v>85.07</c:v>
                </c:pt>
                <c:pt idx="1">
                  <c:v>83.33</c:v>
                </c:pt>
                <c:pt idx="2">
                  <c:v>86.58</c:v>
                </c:pt>
                <c:pt idx="3">
                  <c:v>82.14</c:v>
                </c:pt>
                <c:pt idx="4">
                  <c:v>84.78</c:v>
                </c:pt>
                <c:pt idx="5">
                  <c:v>82.35</c:v>
                </c:pt>
                <c:pt idx="6">
                  <c:v>82.11</c:v>
                </c:pt>
                <c:pt idx="7">
                  <c:v>83.765714285714296</c:v>
                </c:pt>
              </c:numCache>
            </c:numRef>
          </c:val>
          <c:extLst>
            <c:ext xmlns:c16="http://schemas.microsoft.com/office/drawing/2014/chart" uri="{C3380CC4-5D6E-409C-BE32-E72D297353CC}">
              <c16:uniqueId val="{00000000-218D-4142-B46E-E1F51B5D8A2C}"/>
            </c:ext>
          </c:extLst>
        </c:ser>
        <c:dLbls>
          <c:showLegendKey val="0"/>
          <c:showVal val="0"/>
          <c:showCatName val="0"/>
          <c:showSerName val="0"/>
          <c:showPercent val="0"/>
          <c:showBubbleSize val="0"/>
        </c:dLbls>
        <c:gapWidth val="219"/>
        <c:axId val="1014187696"/>
        <c:axId val="1014189328"/>
      </c:barChart>
      <c:catAx>
        <c:axId val="101418769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014189328"/>
        <c:crosses val="autoZero"/>
        <c:auto val="1"/>
        <c:lblAlgn val="ctr"/>
        <c:lblOffset val="100"/>
        <c:noMultiLvlLbl val="0"/>
      </c:catAx>
      <c:valAx>
        <c:axId val="1014189328"/>
        <c:scaling>
          <c:orientation val="minMax"/>
          <c:min val="0"/>
        </c:scaling>
        <c:delete val="0"/>
        <c:axPos val="l"/>
        <c:majorGridlines/>
        <c:numFmt formatCode="0%" sourceLinked="0"/>
        <c:majorTickMark val="out"/>
        <c:minorTickMark val="none"/>
        <c:tickLblPos val="nextTo"/>
        <c:txPr>
          <a:bodyPr rot="-60000000" vert="horz"/>
          <a:lstStyle/>
          <a:p>
            <a:pPr>
              <a:defRPr/>
            </a:pPr>
            <a:endParaRPr lang="en-US"/>
          </a:p>
        </c:txPr>
        <c:crossAx val="1014187696"/>
        <c:crosses val="autoZero"/>
        <c:crossBetween val="between"/>
        <c:majorUnit val="20"/>
        <c:dispUnits>
          <c:builtInUnit val="hundreds"/>
        </c:dispUnits>
      </c:valAx>
    </c:plotArea>
    <c:plotVisOnly val="1"/>
    <c:dispBlanksAs val="gap"/>
    <c:showDLblsOverMax val="0"/>
  </c:chart>
  <c:txPr>
    <a:bodyPr/>
    <a:lstStyle/>
    <a:p>
      <a:pPr>
        <a:defRPr sz="1000">
          <a:latin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AD92-9BDD-4E9E-B7D3-D3C6DD16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8157</Words>
  <Characters>46501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UNITED</vt:lpstr>
    </vt:vector>
  </TitlesOfParts>
  <Company>UNFPA</Company>
  <LinksUpToDate>false</LinksUpToDate>
  <CharactersWithSpaces>54549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dc:title>
  <dc:creator>Horst Rutsch</dc:creator>
  <cp:lastModifiedBy>Horst Rutsch</cp:lastModifiedBy>
  <cp:revision>2</cp:revision>
  <cp:lastPrinted>2018-03-06T14:49:00Z</cp:lastPrinted>
  <dcterms:created xsi:type="dcterms:W3CDTF">2018-04-16T18:44:00Z</dcterms:created>
  <dcterms:modified xsi:type="dcterms:W3CDTF">2018-04-16T18:44:00Z</dcterms:modified>
</cp:coreProperties>
</file>