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2A" w:rsidRDefault="004154F6">
      <w:bookmarkStart w:id="0" w:name="_GoBack"/>
      <w:bookmarkEnd w:id="0"/>
      <w:r w:rsidRPr="004154F6">
        <w:rPr>
          <w:noProof/>
          <w:lang w:val="en-US"/>
        </w:rPr>
        <w:drawing>
          <wp:inline distT="0" distB="0" distL="0" distR="0" wp14:anchorId="3CF2A034" wp14:editId="42F8CA0D">
            <wp:extent cx="2055040" cy="914400"/>
            <wp:effectExtent l="0" t="0" r="2540" b="0"/>
            <wp:docPr id="4" name="Picture 7" descr="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small1"/>
                    <pic:cNvPicPr>
                      <a:picLocks noChangeAspect="1" noChangeArrowheads="1"/>
                    </pic:cNvPicPr>
                  </pic:nvPicPr>
                  <pic:blipFill>
                    <a:blip r:embed="rId9" cstate="print"/>
                    <a:srcRect/>
                    <a:stretch>
                      <a:fillRect/>
                    </a:stretch>
                  </pic:blipFill>
                  <pic:spPr bwMode="auto">
                    <a:xfrm>
                      <a:off x="0" y="0"/>
                      <a:ext cx="2055040" cy="914400"/>
                    </a:xfrm>
                    <a:prstGeom prst="rect">
                      <a:avLst/>
                    </a:prstGeom>
                    <a:noFill/>
                    <a:ln w="9525">
                      <a:noFill/>
                      <a:miter lim="800000"/>
                      <a:headEnd/>
                      <a:tailEnd/>
                    </a:ln>
                  </pic:spPr>
                </pic:pic>
              </a:graphicData>
            </a:graphic>
          </wp:inline>
        </w:drawing>
      </w:r>
    </w:p>
    <w:p w:rsidR="004600F9" w:rsidRPr="009176C2" w:rsidRDefault="004600F9" w:rsidP="004600F9"/>
    <w:p w:rsidR="004600F9" w:rsidRPr="009176C2" w:rsidRDefault="00CF576A" w:rsidP="004600F9">
      <w:r>
        <w:rPr>
          <w:noProof/>
          <w:lang w:val="en-US"/>
        </w:rPr>
        <mc:AlternateContent>
          <mc:Choice Requires="wps">
            <w:drawing>
              <wp:anchor distT="4294967295" distB="4294967295" distL="114300" distR="114300" simplePos="0" relativeHeight="251659264" behindDoc="0" locked="0" layoutInCell="0" allowOverlap="1" wp14:anchorId="5D6C226C" wp14:editId="187170F0">
                <wp:simplePos x="0" y="0"/>
                <wp:positionH relativeFrom="column">
                  <wp:posOffset>0</wp:posOffset>
                </wp:positionH>
                <wp:positionV relativeFrom="paragraph">
                  <wp:posOffset>119379</wp:posOffset>
                </wp:positionV>
                <wp:extent cx="6126480" cy="0"/>
                <wp:effectExtent l="0" t="19050" r="7620"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4pt" to="482.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OAEw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" o:allowincell="f" strokeweight="2.25pt"/>
            </w:pict>
          </mc:Fallback>
        </mc:AlternateContent>
      </w:r>
      <w:r w:rsidR="004600F9">
        <w:t xml:space="preserve"> </w:t>
      </w:r>
    </w:p>
    <w:p w:rsidR="004600F9" w:rsidRPr="00E32704" w:rsidRDefault="004600F9" w:rsidP="004600F9">
      <w:pPr>
        <w:rPr>
          <w:b/>
        </w:rPr>
      </w:pPr>
    </w:p>
    <w:p w:rsidR="004600F9" w:rsidRPr="00A37A4B" w:rsidRDefault="004600F9" w:rsidP="004600F9">
      <w:pPr>
        <w:jc w:val="center"/>
        <w:rPr>
          <w:b/>
          <w:sz w:val="36"/>
          <w:szCs w:val="36"/>
        </w:rPr>
      </w:pPr>
    </w:p>
    <w:p w:rsidR="00C211D3" w:rsidRDefault="00C211D3" w:rsidP="002609FB">
      <w:pPr>
        <w:ind w:firstLine="475"/>
        <w:jc w:val="center"/>
        <w:rPr>
          <w:rFonts w:ascii="Times New Roman Bold" w:hAnsi="Times New Roman Bold"/>
          <w:b/>
          <w:caps/>
          <w:sz w:val="28"/>
        </w:rPr>
      </w:pPr>
    </w:p>
    <w:p w:rsidR="002609FB" w:rsidRPr="006A7FB9" w:rsidRDefault="002609FB" w:rsidP="002609FB">
      <w:pPr>
        <w:ind w:firstLine="475"/>
        <w:jc w:val="center"/>
        <w:rPr>
          <w:rFonts w:ascii="Times New Roman Bold" w:hAnsi="Times New Roman Bold"/>
          <w:b/>
          <w:caps/>
          <w:sz w:val="28"/>
        </w:rPr>
      </w:pPr>
      <w:r w:rsidRPr="006A7FB9">
        <w:rPr>
          <w:rFonts w:ascii="Times New Roman Bold" w:hAnsi="Times New Roman Bold"/>
          <w:b/>
          <w:caps/>
          <w:sz w:val="28"/>
        </w:rPr>
        <w:t>United Nations Population Fund</w:t>
      </w:r>
    </w:p>
    <w:p w:rsidR="002609FB" w:rsidRDefault="002609FB" w:rsidP="002609FB">
      <w:pPr>
        <w:jc w:val="center"/>
        <w:rPr>
          <w:sz w:val="28"/>
        </w:rPr>
      </w:pPr>
    </w:p>
    <w:p w:rsidR="002609FB" w:rsidRPr="006A7FB9" w:rsidRDefault="002609FB" w:rsidP="002609FB">
      <w:pPr>
        <w:jc w:val="center"/>
        <w:rPr>
          <w:rFonts w:ascii="Times New Roman Bold" w:hAnsi="Times New Roman Bold"/>
          <w:caps/>
          <w:sz w:val="32"/>
        </w:rPr>
      </w:pPr>
      <w:r w:rsidRPr="006A7FB9">
        <w:rPr>
          <w:rFonts w:ascii="Times New Roman Bold" w:hAnsi="Times New Roman Bold"/>
          <w:b/>
          <w:caps/>
          <w:sz w:val="28"/>
          <w:szCs w:val="24"/>
        </w:rPr>
        <w:t>The UNFPA strategic plan, 2014-2017</w:t>
      </w:r>
    </w:p>
    <w:p w:rsidR="004600F9" w:rsidRDefault="004600F9" w:rsidP="004600F9">
      <w:pPr>
        <w:jc w:val="center"/>
        <w:rPr>
          <w:b/>
          <w:sz w:val="28"/>
        </w:rPr>
      </w:pPr>
    </w:p>
    <w:p w:rsidR="00C211D3" w:rsidRDefault="00C211D3" w:rsidP="004600F9">
      <w:pPr>
        <w:jc w:val="center"/>
        <w:rPr>
          <w:b/>
          <w:sz w:val="28"/>
          <w:szCs w:val="28"/>
        </w:rPr>
      </w:pPr>
    </w:p>
    <w:p w:rsidR="000564A1" w:rsidRPr="00BB712F" w:rsidRDefault="000564A1" w:rsidP="004600F9">
      <w:pPr>
        <w:jc w:val="center"/>
        <w:rPr>
          <w:b/>
          <w:sz w:val="28"/>
          <w:szCs w:val="28"/>
        </w:rPr>
      </w:pPr>
      <w:r w:rsidRPr="00BB712F">
        <w:rPr>
          <w:b/>
          <w:sz w:val="28"/>
          <w:szCs w:val="28"/>
        </w:rPr>
        <w:t>Annex 1</w:t>
      </w:r>
    </w:p>
    <w:p w:rsidR="000564A1" w:rsidRPr="00BB712F" w:rsidRDefault="000564A1" w:rsidP="004600F9">
      <w:pPr>
        <w:jc w:val="center"/>
        <w:rPr>
          <w:b/>
          <w:sz w:val="28"/>
          <w:szCs w:val="28"/>
        </w:rPr>
      </w:pPr>
      <w:r w:rsidRPr="00BB712F">
        <w:rPr>
          <w:b/>
          <w:sz w:val="28"/>
          <w:szCs w:val="28"/>
        </w:rPr>
        <w:t>Integrated results framework</w:t>
      </w:r>
    </w:p>
    <w:p w:rsidR="000564A1" w:rsidRPr="00BB712F" w:rsidRDefault="000564A1" w:rsidP="004600F9">
      <w:pPr>
        <w:jc w:val="center"/>
        <w:rPr>
          <w:b/>
          <w:sz w:val="28"/>
          <w:szCs w:val="28"/>
        </w:rPr>
      </w:pPr>
    </w:p>
    <w:p w:rsidR="004600F9" w:rsidRPr="00BB712F" w:rsidRDefault="004600F9" w:rsidP="004600F9">
      <w:pPr>
        <w:jc w:val="center"/>
        <w:rPr>
          <w:b/>
          <w:sz w:val="28"/>
          <w:szCs w:val="28"/>
        </w:rPr>
      </w:pPr>
    </w:p>
    <w:p w:rsidR="004600F9" w:rsidRPr="00BB712F" w:rsidRDefault="004600F9" w:rsidP="004600F9">
      <w:pPr>
        <w:jc w:val="center"/>
        <w:rPr>
          <w:b/>
          <w:sz w:val="28"/>
          <w:szCs w:val="28"/>
        </w:rPr>
      </w:pPr>
    </w:p>
    <w:p w:rsidR="004600F9" w:rsidRPr="009176C2" w:rsidRDefault="00CF576A" w:rsidP="004600F9">
      <w:pPr>
        <w:ind w:left="360"/>
        <w:jc w:val="center"/>
        <w:rPr>
          <w:b/>
          <w:color w:val="000000"/>
          <w:sz w:val="22"/>
          <w:szCs w:val="22"/>
        </w:rPr>
      </w:pPr>
      <w:r>
        <w:rPr>
          <w:b/>
          <w:noProof/>
          <w:color w:val="000000"/>
          <w:sz w:val="22"/>
          <w:szCs w:val="22"/>
          <w:lang w:val="en-US"/>
        </w:rPr>
        <mc:AlternateContent>
          <mc:Choice Requires="wps">
            <w:drawing>
              <wp:anchor distT="0" distB="0" distL="114300" distR="114300" simplePos="0" relativeHeight="251660288" behindDoc="0" locked="0" layoutInCell="1" allowOverlap="1" wp14:anchorId="530669A6" wp14:editId="380FE391">
                <wp:simplePos x="0" y="0"/>
                <wp:positionH relativeFrom="column">
                  <wp:align>center</wp:align>
                </wp:positionH>
                <wp:positionV relativeFrom="paragraph">
                  <wp:posOffset>0</wp:posOffset>
                </wp:positionV>
                <wp:extent cx="5870575" cy="1196340"/>
                <wp:effectExtent l="0" t="0" r="15875" b="2349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1196340"/>
                        </a:xfrm>
                        <a:prstGeom prst="rect">
                          <a:avLst/>
                        </a:prstGeom>
                        <a:solidFill>
                          <a:srgbClr val="FFFFFF"/>
                        </a:solidFill>
                        <a:ln w="9525">
                          <a:solidFill>
                            <a:srgbClr val="000000"/>
                          </a:solidFill>
                          <a:miter lim="800000"/>
                          <a:headEnd/>
                          <a:tailEnd/>
                        </a:ln>
                      </wps:spPr>
                      <wps:txbx>
                        <w:txbxContent>
                          <w:p w:rsidR="000E5B10" w:rsidRDefault="000E5B10" w:rsidP="004600F9">
                            <w:pPr>
                              <w:rPr>
                                <w:i/>
                              </w:rPr>
                            </w:pPr>
                          </w:p>
                          <w:p w:rsidR="000E5B10" w:rsidRPr="00B3059D" w:rsidRDefault="000E5B10" w:rsidP="004600F9">
                            <w:pPr>
                              <w:rPr>
                                <w:i/>
                                <w:sz w:val="22"/>
                                <w:szCs w:val="22"/>
                              </w:rPr>
                            </w:pPr>
                            <w:r w:rsidRPr="00B3059D">
                              <w:rPr>
                                <w:i/>
                                <w:sz w:val="22"/>
                                <w:szCs w:val="22"/>
                              </w:rPr>
                              <w:t>Summary</w:t>
                            </w:r>
                          </w:p>
                          <w:p w:rsidR="000E5B10" w:rsidRPr="00B3059D" w:rsidRDefault="000E5B10" w:rsidP="004600F9">
                            <w:pPr>
                              <w:rPr>
                                <w:i/>
                                <w:sz w:val="22"/>
                                <w:szCs w:val="22"/>
                              </w:rPr>
                            </w:pPr>
                          </w:p>
                          <w:p w:rsidR="000E5B10" w:rsidRPr="00B3059D" w:rsidRDefault="000E5B10" w:rsidP="004600F9">
                            <w:pPr>
                              <w:ind w:left="360" w:right="660" w:firstLine="540"/>
                              <w:jc w:val="both"/>
                              <w:rPr>
                                <w:sz w:val="22"/>
                                <w:szCs w:val="22"/>
                              </w:rPr>
                            </w:pPr>
                            <w:r>
                              <w:rPr>
                                <w:sz w:val="22"/>
                                <w:szCs w:val="22"/>
                              </w:rPr>
                              <w:t>This document presents a</w:t>
                            </w:r>
                            <w:r w:rsidRPr="00B3059D">
                              <w:rPr>
                                <w:sz w:val="22"/>
                                <w:szCs w:val="22"/>
                              </w:rPr>
                              <w:t>nnex 1</w:t>
                            </w:r>
                            <w:r>
                              <w:rPr>
                                <w:sz w:val="22"/>
                                <w:szCs w:val="22"/>
                              </w:rPr>
                              <w:t xml:space="preserve"> (the integrated results framework)</w:t>
                            </w:r>
                            <w:r w:rsidRPr="00B3059D">
                              <w:rPr>
                                <w:sz w:val="22"/>
                                <w:szCs w:val="22"/>
                              </w:rPr>
                              <w:t xml:space="preserve"> to the UNF</w:t>
                            </w:r>
                            <w:r>
                              <w:rPr>
                                <w:sz w:val="22"/>
                                <w:szCs w:val="22"/>
                              </w:rPr>
                              <w:t>PA strategic plan for 2014-2017</w:t>
                            </w:r>
                            <w:r w:rsidRPr="00B3059D">
                              <w:rPr>
                                <w:sz w:val="22"/>
                                <w:szCs w:val="22"/>
                              </w:rPr>
                              <w:t xml:space="preserve">.  </w:t>
                            </w:r>
                            <w:r w:rsidRPr="00B3059D">
                              <w:rPr>
                                <w:color w:val="000000"/>
                                <w:sz w:val="22"/>
                                <w:szCs w:val="22"/>
                              </w:rPr>
                              <w:t>This</w:t>
                            </w:r>
                            <w:r>
                              <w:rPr>
                                <w:color w:val="000000"/>
                                <w:sz w:val="22"/>
                                <w:szCs w:val="22"/>
                              </w:rPr>
                              <w:t xml:space="preserve"> annex</w:t>
                            </w:r>
                            <w:r w:rsidRPr="00B3059D">
                              <w:rPr>
                                <w:color w:val="000000"/>
                                <w:sz w:val="22"/>
                                <w:szCs w:val="22"/>
                              </w:rPr>
                              <w:t xml:space="preserve"> contains the indicators, baselines, and targets that set out the results that UNFPA aims to achieve for 2014-2017.</w:t>
                            </w:r>
                          </w:p>
                          <w:p w:rsidR="000E5B10" w:rsidRPr="00FB62FA" w:rsidRDefault="000E5B10" w:rsidP="004600F9">
                            <w:pPr>
                              <w:ind w:left="720" w:right="660"/>
                              <w:jc w:val="both"/>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0;width:462.25pt;height:94.2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">
                <v:textbox style="mso-fit-shape-to-text:t">
                  <w:txbxContent>
                    <w:p w:rsidR="000E5B10" w:rsidRDefault="000E5B10" w:rsidP="004600F9">
                      <w:pPr>
                        <w:rPr>
                          <w:i/>
                        </w:rPr>
                      </w:pPr>
                    </w:p>
                    <w:p w:rsidR="000E5B10" w:rsidRPr="00B3059D" w:rsidRDefault="000E5B10" w:rsidP="004600F9">
                      <w:pPr>
                        <w:rPr>
                          <w:i/>
                          <w:sz w:val="22"/>
                          <w:szCs w:val="22"/>
                        </w:rPr>
                      </w:pPr>
                      <w:r w:rsidRPr="00B3059D">
                        <w:rPr>
                          <w:i/>
                          <w:sz w:val="22"/>
                          <w:szCs w:val="22"/>
                        </w:rPr>
                        <w:t>Summary</w:t>
                      </w:r>
                    </w:p>
                    <w:p w:rsidR="000E5B10" w:rsidRPr="00B3059D" w:rsidRDefault="000E5B10" w:rsidP="004600F9">
                      <w:pPr>
                        <w:rPr>
                          <w:i/>
                          <w:sz w:val="22"/>
                          <w:szCs w:val="22"/>
                        </w:rPr>
                      </w:pPr>
                    </w:p>
                    <w:p w:rsidR="000E5B10" w:rsidRPr="00B3059D" w:rsidRDefault="000E5B10" w:rsidP="004600F9">
                      <w:pPr>
                        <w:ind w:left="360" w:right="660" w:firstLine="540"/>
                        <w:jc w:val="both"/>
                        <w:rPr>
                          <w:sz w:val="22"/>
                          <w:szCs w:val="22"/>
                        </w:rPr>
                      </w:pPr>
                      <w:r>
                        <w:rPr>
                          <w:sz w:val="22"/>
                          <w:szCs w:val="22"/>
                        </w:rPr>
                        <w:t>This document presents a</w:t>
                      </w:r>
                      <w:r w:rsidRPr="00B3059D">
                        <w:rPr>
                          <w:sz w:val="22"/>
                          <w:szCs w:val="22"/>
                        </w:rPr>
                        <w:t>nnex 1</w:t>
                      </w:r>
                      <w:r>
                        <w:rPr>
                          <w:sz w:val="22"/>
                          <w:szCs w:val="22"/>
                        </w:rPr>
                        <w:t xml:space="preserve"> (the integrated results framework)</w:t>
                      </w:r>
                      <w:r w:rsidRPr="00B3059D">
                        <w:rPr>
                          <w:sz w:val="22"/>
                          <w:szCs w:val="22"/>
                        </w:rPr>
                        <w:t xml:space="preserve"> to the UNF</w:t>
                      </w:r>
                      <w:r>
                        <w:rPr>
                          <w:sz w:val="22"/>
                          <w:szCs w:val="22"/>
                        </w:rPr>
                        <w:t>PA strategic plan for 2014-2017</w:t>
                      </w:r>
                      <w:r w:rsidRPr="00B3059D">
                        <w:rPr>
                          <w:sz w:val="22"/>
                          <w:szCs w:val="22"/>
                        </w:rPr>
                        <w:t xml:space="preserve">.  </w:t>
                      </w:r>
                      <w:r w:rsidRPr="00B3059D">
                        <w:rPr>
                          <w:color w:val="000000"/>
                          <w:sz w:val="22"/>
                          <w:szCs w:val="22"/>
                        </w:rPr>
                        <w:t>This</w:t>
                      </w:r>
                      <w:r>
                        <w:rPr>
                          <w:color w:val="000000"/>
                          <w:sz w:val="22"/>
                          <w:szCs w:val="22"/>
                        </w:rPr>
                        <w:t xml:space="preserve"> annex</w:t>
                      </w:r>
                      <w:r w:rsidRPr="00B3059D">
                        <w:rPr>
                          <w:color w:val="000000"/>
                          <w:sz w:val="22"/>
                          <w:szCs w:val="22"/>
                        </w:rPr>
                        <w:t xml:space="preserve"> contains the indicators, baselines, and targets that set out the results that UNFPA aims to achieve for 2014-2017.</w:t>
                      </w:r>
                    </w:p>
                    <w:p w:rsidR="000E5B10" w:rsidRPr="00FB62FA" w:rsidRDefault="000E5B10" w:rsidP="004600F9">
                      <w:pPr>
                        <w:ind w:left="720" w:right="660"/>
                        <w:jc w:val="both"/>
                      </w:pPr>
                    </w:p>
                  </w:txbxContent>
                </v:textbox>
              </v:shape>
            </w:pict>
          </mc:Fallback>
        </mc:AlternateContent>
      </w:r>
    </w:p>
    <w:p w:rsidR="004600F9" w:rsidRDefault="004600F9" w:rsidP="004600F9">
      <w:pPr>
        <w:rPr>
          <w:sz w:val="28"/>
          <w:szCs w:val="28"/>
        </w:rPr>
      </w:pPr>
      <w:r w:rsidRPr="009176C2">
        <w:rPr>
          <w:b/>
          <w:color w:val="000000"/>
          <w:sz w:val="22"/>
          <w:szCs w:val="22"/>
        </w:rPr>
        <w:t xml:space="preserve"> </w:t>
      </w:r>
      <w:r w:rsidRPr="009176C2">
        <w:rPr>
          <w:b/>
          <w:color w:val="000000"/>
          <w:sz w:val="22"/>
          <w:szCs w:val="22"/>
        </w:rPr>
        <w:br w:type="page"/>
      </w:r>
      <w:r w:rsidRPr="009176C2">
        <w:rPr>
          <w:sz w:val="28"/>
          <w:szCs w:val="28"/>
        </w:rPr>
        <w:lastRenderedPageBreak/>
        <w:t>Contents</w:t>
      </w:r>
    </w:p>
    <w:p w:rsidR="004600F9" w:rsidRDefault="004600F9" w:rsidP="004600F9">
      <w:pPr>
        <w:rPr>
          <w:sz w:val="28"/>
          <w:szCs w:val="28"/>
        </w:rPr>
      </w:pPr>
    </w:p>
    <w:p w:rsidR="004600F9" w:rsidRPr="009176C2" w:rsidRDefault="004600F9" w:rsidP="004600F9">
      <w:pPr>
        <w:rPr>
          <w:sz w:val="28"/>
          <w:szCs w:val="28"/>
        </w:rPr>
      </w:pPr>
    </w:p>
    <w:p w:rsidR="004600F9" w:rsidRPr="009176C2" w:rsidRDefault="004600F9" w:rsidP="004600F9">
      <w:pPr>
        <w:ind w:left="360"/>
        <w:jc w:val="right"/>
        <w:rPr>
          <w:i/>
          <w:sz w:val="18"/>
          <w:szCs w:val="18"/>
        </w:rPr>
      </w:pPr>
      <w:r w:rsidRPr="009176C2">
        <w:rPr>
          <w:i/>
          <w:sz w:val="18"/>
          <w:szCs w:val="18"/>
        </w:rPr>
        <w:t>Page</w:t>
      </w:r>
    </w:p>
    <w:p w:rsidR="004600F9" w:rsidRPr="009176C2" w:rsidRDefault="004600F9" w:rsidP="004600F9">
      <w:pPr>
        <w:ind w:left="360"/>
        <w:jc w:val="center"/>
        <w:rPr>
          <w:u w:val="single"/>
        </w:rPr>
      </w:pPr>
    </w:p>
    <w:p w:rsidR="00B25C3E" w:rsidRDefault="007E3EAB">
      <w:pPr>
        <w:pStyle w:val="TOC1"/>
        <w:rPr>
          <w:rFonts w:asciiTheme="minorHAnsi" w:eastAsiaTheme="minorEastAsia" w:hAnsiTheme="minorHAnsi" w:cstheme="minorBidi"/>
          <w:sz w:val="22"/>
          <w:szCs w:val="22"/>
          <w:lang w:val="en-US"/>
        </w:rPr>
      </w:pPr>
      <w:r>
        <w:fldChar w:fldCharType="begin"/>
      </w:r>
      <w:r w:rsidR="004600F9">
        <w:instrText xml:space="preserve"> TOC \o "1-2" \h \z \u </w:instrText>
      </w:r>
      <w:r>
        <w:fldChar w:fldCharType="separate"/>
      </w:r>
      <w:hyperlink w:anchor="_Toc365035037" w:history="1">
        <w:r w:rsidR="00B25C3E" w:rsidRPr="00CB77D7">
          <w:rPr>
            <w:rStyle w:val="Hyperlink"/>
          </w:rPr>
          <w:t>I.</w:t>
        </w:r>
        <w:r w:rsidR="00B25C3E">
          <w:rPr>
            <w:rFonts w:asciiTheme="minorHAnsi" w:eastAsiaTheme="minorEastAsia" w:hAnsiTheme="minorHAnsi" w:cstheme="minorBidi"/>
            <w:sz w:val="22"/>
            <w:szCs w:val="22"/>
            <w:lang w:val="en-US"/>
          </w:rPr>
          <w:tab/>
        </w:r>
        <w:r w:rsidR="00B25C3E" w:rsidRPr="00CB77D7">
          <w:rPr>
            <w:rStyle w:val="Hyperlink"/>
          </w:rPr>
          <w:t>Introduction</w:t>
        </w:r>
        <w:r w:rsidR="00B25C3E">
          <w:rPr>
            <w:webHidden/>
          </w:rPr>
          <w:tab/>
        </w:r>
        <w:r w:rsidR="00B25C3E">
          <w:rPr>
            <w:webHidden/>
          </w:rPr>
          <w:fldChar w:fldCharType="begin"/>
        </w:r>
        <w:r w:rsidR="00B25C3E">
          <w:rPr>
            <w:webHidden/>
          </w:rPr>
          <w:instrText xml:space="preserve"> PAGEREF _Toc365035037 \h </w:instrText>
        </w:r>
        <w:r w:rsidR="00B25C3E">
          <w:rPr>
            <w:webHidden/>
          </w:rPr>
        </w:r>
        <w:r w:rsidR="00B25C3E">
          <w:rPr>
            <w:webHidden/>
          </w:rPr>
          <w:fldChar w:fldCharType="separate"/>
        </w:r>
        <w:r w:rsidR="00B25C3E">
          <w:rPr>
            <w:webHidden/>
          </w:rPr>
          <w:t>3</w:t>
        </w:r>
        <w:r w:rsidR="00B25C3E">
          <w:rPr>
            <w:webHidden/>
          </w:rPr>
          <w:fldChar w:fldCharType="end"/>
        </w:r>
      </w:hyperlink>
    </w:p>
    <w:p w:rsidR="00B25C3E" w:rsidRDefault="00912F31">
      <w:pPr>
        <w:pStyle w:val="TOC1"/>
        <w:rPr>
          <w:rFonts w:asciiTheme="minorHAnsi" w:eastAsiaTheme="minorEastAsia" w:hAnsiTheme="minorHAnsi" w:cstheme="minorBidi"/>
          <w:sz w:val="22"/>
          <w:szCs w:val="22"/>
          <w:lang w:val="en-US"/>
        </w:rPr>
      </w:pPr>
      <w:hyperlink w:anchor="_Toc365035038" w:history="1">
        <w:r w:rsidR="00B25C3E" w:rsidRPr="00CB77D7">
          <w:rPr>
            <w:rStyle w:val="Hyperlink"/>
          </w:rPr>
          <w:t>II.</w:t>
        </w:r>
        <w:r w:rsidR="00B25C3E">
          <w:rPr>
            <w:rFonts w:asciiTheme="minorHAnsi" w:eastAsiaTheme="minorEastAsia" w:hAnsiTheme="minorHAnsi" w:cstheme="minorBidi"/>
            <w:sz w:val="22"/>
            <w:szCs w:val="22"/>
            <w:lang w:val="en-US"/>
          </w:rPr>
          <w:tab/>
        </w:r>
        <w:r w:rsidR="00B25C3E" w:rsidRPr="00CB77D7">
          <w:rPr>
            <w:rStyle w:val="Hyperlink"/>
          </w:rPr>
          <w:t>Integrated results framework</w:t>
        </w:r>
        <w:r w:rsidR="00B25C3E">
          <w:rPr>
            <w:webHidden/>
          </w:rPr>
          <w:tab/>
        </w:r>
        <w:r w:rsidR="00B25C3E">
          <w:rPr>
            <w:webHidden/>
          </w:rPr>
          <w:fldChar w:fldCharType="begin"/>
        </w:r>
        <w:r w:rsidR="00B25C3E">
          <w:rPr>
            <w:webHidden/>
          </w:rPr>
          <w:instrText xml:space="preserve"> PAGEREF _Toc365035038 \h </w:instrText>
        </w:r>
        <w:r w:rsidR="00B25C3E">
          <w:rPr>
            <w:webHidden/>
          </w:rPr>
        </w:r>
        <w:r w:rsidR="00B25C3E">
          <w:rPr>
            <w:webHidden/>
          </w:rPr>
          <w:fldChar w:fldCharType="separate"/>
        </w:r>
        <w:r w:rsidR="00B25C3E">
          <w:rPr>
            <w:webHidden/>
          </w:rPr>
          <w:t>6</w:t>
        </w:r>
        <w:r w:rsidR="00B25C3E">
          <w:rPr>
            <w:webHidden/>
          </w:rPr>
          <w:fldChar w:fldCharType="end"/>
        </w:r>
      </w:hyperlink>
    </w:p>
    <w:p w:rsidR="004600F9" w:rsidRPr="009176C2" w:rsidRDefault="007E3EAB" w:rsidP="004600F9">
      <w:r>
        <w:rPr>
          <w:noProof/>
        </w:rPr>
        <w:fldChar w:fldCharType="end"/>
      </w:r>
    </w:p>
    <w:p w:rsidR="004600F9" w:rsidRPr="009176C2" w:rsidRDefault="004600F9" w:rsidP="004600F9">
      <w:pPr>
        <w:tabs>
          <w:tab w:val="left" w:pos="1080"/>
          <w:tab w:val="left" w:pos="1296"/>
          <w:tab w:val="left" w:pos="1728"/>
          <w:tab w:val="left" w:pos="2160"/>
          <w:tab w:val="right" w:leader="dot" w:pos="9360"/>
        </w:tabs>
        <w:ind w:left="540"/>
        <w:jc w:val="both"/>
        <w:rPr>
          <w:b/>
        </w:rPr>
      </w:pPr>
    </w:p>
    <w:p w:rsidR="004600F9" w:rsidRPr="009176C2" w:rsidRDefault="004600F9" w:rsidP="004600F9">
      <w:pPr>
        <w:tabs>
          <w:tab w:val="left" w:pos="1080"/>
          <w:tab w:val="left" w:pos="1296"/>
          <w:tab w:val="left" w:pos="1728"/>
          <w:tab w:val="left" w:pos="2160"/>
          <w:tab w:val="right" w:leader="dot" w:pos="9360"/>
        </w:tabs>
        <w:ind w:left="540"/>
        <w:jc w:val="center"/>
        <w:rPr>
          <w:b/>
          <w:u w:val="single"/>
        </w:rPr>
      </w:pPr>
    </w:p>
    <w:p w:rsidR="004600F9" w:rsidRPr="009E5D7B" w:rsidRDefault="004600F9" w:rsidP="004600F9">
      <w:pPr>
        <w:pStyle w:val="Heading1"/>
        <w:numPr>
          <w:ilvl w:val="0"/>
          <w:numId w:val="4"/>
        </w:numPr>
      </w:pPr>
      <w:r w:rsidRPr="009176C2">
        <w:rPr>
          <w:sz w:val="22"/>
          <w:szCs w:val="22"/>
        </w:rPr>
        <w:br w:type="page"/>
      </w:r>
      <w:bookmarkStart w:id="1" w:name="_Toc365035037"/>
      <w:r w:rsidRPr="009E5D7B">
        <w:rPr>
          <w:lang w:val="en-GB"/>
        </w:rPr>
        <w:lastRenderedPageBreak/>
        <w:t>Introduction</w:t>
      </w:r>
      <w:bookmarkEnd w:id="1"/>
    </w:p>
    <w:p w:rsidR="004600F9" w:rsidRPr="009176C2" w:rsidRDefault="004600F9" w:rsidP="004600F9">
      <w:pPr>
        <w:tabs>
          <w:tab w:val="left" w:pos="475"/>
        </w:tabs>
      </w:pPr>
    </w:p>
    <w:p w:rsidR="004600F9" w:rsidRDefault="004600F9" w:rsidP="004600F9">
      <w:pPr>
        <w:numPr>
          <w:ilvl w:val="0"/>
          <w:numId w:val="1"/>
        </w:numPr>
        <w:tabs>
          <w:tab w:val="left" w:pos="475"/>
        </w:tabs>
        <w:ind w:left="1080" w:right="720" w:firstLine="0"/>
        <w:jc w:val="both"/>
        <w:rPr>
          <w:color w:val="000000"/>
        </w:rPr>
      </w:pPr>
      <w:r>
        <w:rPr>
          <w:color w:val="000000"/>
        </w:rPr>
        <w:t>This annex to the strategic plan, 2014-2017, presents the integrated results framework (IRF).  The IRF is an essential component of the strategic plan, as it contains the indicators, baselines, and targets that set out the results that UNFPA aims to achieve for 2014-2017, and through which accountability will be assessed.</w:t>
      </w:r>
    </w:p>
    <w:p w:rsidR="004600F9" w:rsidRDefault="004600F9" w:rsidP="004600F9">
      <w:pPr>
        <w:tabs>
          <w:tab w:val="left" w:pos="475"/>
        </w:tabs>
        <w:ind w:left="1080" w:right="720"/>
        <w:jc w:val="both"/>
        <w:rPr>
          <w:color w:val="000000"/>
        </w:rPr>
      </w:pPr>
    </w:p>
    <w:p w:rsidR="004600F9" w:rsidRPr="00910794" w:rsidRDefault="004600F9" w:rsidP="004600F9">
      <w:pPr>
        <w:numPr>
          <w:ilvl w:val="0"/>
          <w:numId w:val="1"/>
        </w:numPr>
        <w:tabs>
          <w:tab w:val="left" w:pos="475"/>
        </w:tabs>
        <w:ind w:left="1080" w:right="720" w:firstLine="0"/>
        <w:jc w:val="both"/>
        <w:rPr>
          <w:color w:val="000000"/>
        </w:rPr>
      </w:pPr>
      <w:r w:rsidRPr="00910794">
        <w:rPr>
          <w:color w:val="000000"/>
        </w:rPr>
        <w:t>The structure of the</w:t>
      </w:r>
      <w:r>
        <w:rPr>
          <w:color w:val="000000"/>
        </w:rPr>
        <w:t xml:space="preserve"> IRF is shown in f</w:t>
      </w:r>
      <w:r w:rsidRPr="00910794">
        <w:rPr>
          <w:color w:val="000000"/>
        </w:rPr>
        <w:t>igure 1:</w:t>
      </w:r>
    </w:p>
    <w:p w:rsidR="004600F9" w:rsidRDefault="004600F9" w:rsidP="004600F9">
      <w:pPr>
        <w:tabs>
          <w:tab w:val="left" w:pos="475"/>
        </w:tabs>
        <w:ind w:left="1080" w:right="720"/>
        <w:jc w:val="both"/>
        <w:rPr>
          <w:color w:val="000000"/>
        </w:rPr>
      </w:pPr>
    </w:p>
    <w:p w:rsidR="004600F9" w:rsidRPr="009176C2" w:rsidRDefault="004600F9" w:rsidP="004600F9">
      <w:pPr>
        <w:keepNext/>
        <w:spacing w:after="120"/>
        <w:ind w:left="1080" w:right="720"/>
        <w:rPr>
          <w:b/>
        </w:rPr>
      </w:pPr>
      <w:r w:rsidRPr="009176C2">
        <w:rPr>
          <w:b/>
        </w:rPr>
        <w:t xml:space="preserve">Figure </w:t>
      </w:r>
      <w:r>
        <w:rPr>
          <w:b/>
        </w:rPr>
        <w:t>1</w:t>
      </w:r>
      <w:r w:rsidRPr="009176C2">
        <w:rPr>
          <w:b/>
        </w:rPr>
        <w:t xml:space="preserve">: Structure of the </w:t>
      </w:r>
      <w:r>
        <w:rPr>
          <w:b/>
        </w:rPr>
        <w:t>integrated results framework</w:t>
      </w:r>
    </w:p>
    <w:p w:rsidR="004600F9" w:rsidRDefault="004600F9" w:rsidP="004600F9">
      <w:pPr>
        <w:tabs>
          <w:tab w:val="left" w:pos="475"/>
        </w:tabs>
        <w:ind w:left="1080" w:right="720"/>
        <w:jc w:val="both"/>
        <w:rPr>
          <w:color w:val="000000"/>
        </w:rPr>
      </w:pPr>
      <w:r>
        <w:rPr>
          <w:noProof/>
          <w:lang w:val="en-US"/>
        </w:rPr>
        <w:drawing>
          <wp:inline distT="0" distB="0" distL="0" distR="0" wp14:anchorId="5499F87B" wp14:editId="31DE797A">
            <wp:extent cx="4735830" cy="3044825"/>
            <wp:effectExtent l="0" t="0" r="7620" b="317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35830" cy="3044825"/>
                    </a:xfrm>
                    <a:prstGeom prst="rect">
                      <a:avLst/>
                    </a:prstGeom>
                    <a:noFill/>
                    <a:ln>
                      <a:noFill/>
                    </a:ln>
                  </pic:spPr>
                </pic:pic>
              </a:graphicData>
            </a:graphic>
          </wp:inline>
        </w:drawing>
      </w:r>
    </w:p>
    <w:p w:rsidR="004600F9" w:rsidRDefault="004600F9" w:rsidP="004600F9">
      <w:pPr>
        <w:tabs>
          <w:tab w:val="left" w:pos="475"/>
        </w:tabs>
        <w:ind w:left="1080" w:right="720"/>
        <w:jc w:val="both"/>
        <w:rPr>
          <w:color w:val="000000"/>
        </w:rPr>
      </w:pPr>
    </w:p>
    <w:p w:rsidR="004600F9" w:rsidRDefault="004600F9" w:rsidP="004600F9">
      <w:pPr>
        <w:ind w:left="1080" w:right="720"/>
        <w:jc w:val="both"/>
        <w:rPr>
          <w:color w:val="000000"/>
        </w:rPr>
      </w:pPr>
    </w:p>
    <w:p w:rsidR="004600F9" w:rsidRDefault="004600F9" w:rsidP="004600F9">
      <w:pPr>
        <w:numPr>
          <w:ilvl w:val="0"/>
          <w:numId w:val="1"/>
        </w:numPr>
        <w:tabs>
          <w:tab w:val="left" w:pos="475"/>
        </w:tabs>
        <w:ind w:left="1080" w:right="720" w:firstLine="0"/>
        <w:jc w:val="both"/>
        <w:rPr>
          <w:color w:val="000000"/>
        </w:rPr>
      </w:pPr>
      <w:r w:rsidRPr="00910794">
        <w:rPr>
          <w:color w:val="000000"/>
        </w:rPr>
        <w:t>There are a number of important features of this structure that are important to note.  First, there is a single integrated framework that shows the connection between development and management results, which is a departure from previous strategic plans, in which separate frameworks were used.</w:t>
      </w:r>
    </w:p>
    <w:p w:rsidR="004600F9" w:rsidRDefault="004600F9" w:rsidP="004600F9">
      <w:pPr>
        <w:tabs>
          <w:tab w:val="left" w:pos="475"/>
        </w:tabs>
        <w:ind w:left="1080" w:right="720"/>
        <w:jc w:val="both"/>
        <w:rPr>
          <w:color w:val="000000"/>
        </w:rPr>
      </w:pPr>
    </w:p>
    <w:p w:rsidR="004600F9" w:rsidRDefault="004600F9" w:rsidP="004600F9">
      <w:pPr>
        <w:numPr>
          <w:ilvl w:val="0"/>
          <w:numId w:val="1"/>
        </w:numPr>
        <w:tabs>
          <w:tab w:val="left" w:pos="475"/>
        </w:tabs>
        <w:ind w:left="1080" w:right="720" w:firstLine="0"/>
        <w:jc w:val="both"/>
        <w:rPr>
          <w:color w:val="000000"/>
        </w:rPr>
      </w:pPr>
      <w:r>
        <w:rPr>
          <w:color w:val="000000"/>
        </w:rPr>
        <w:t xml:space="preserve">Second, </w:t>
      </w:r>
      <w:r w:rsidRPr="00910794">
        <w:rPr>
          <w:color w:val="000000"/>
        </w:rPr>
        <w:t xml:space="preserve">development results are captured at the levels </w:t>
      </w:r>
      <w:r>
        <w:rPr>
          <w:color w:val="000000"/>
        </w:rPr>
        <w:t>of impact, outcome, and output.  This is in line with the guidance from the Quadrennial Comprehensive Policy Review (QCPR)</w:t>
      </w:r>
      <w:r w:rsidRPr="00CB578F">
        <w:rPr>
          <w:color w:val="000000"/>
        </w:rPr>
        <w:t xml:space="preserve"> </w:t>
      </w:r>
      <w:r>
        <w:rPr>
          <w:color w:val="000000"/>
        </w:rPr>
        <w:t>and is harmonized with other United Nations organizations (see below).</w:t>
      </w:r>
    </w:p>
    <w:p w:rsidR="004600F9" w:rsidRDefault="004600F9" w:rsidP="004600F9">
      <w:pPr>
        <w:tabs>
          <w:tab w:val="left" w:pos="475"/>
        </w:tabs>
        <w:ind w:left="1080" w:right="720"/>
        <w:jc w:val="both"/>
        <w:rPr>
          <w:color w:val="000000"/>
        </w:rPr>
      </w:pPr>
    </w:p>
    <w:p w:rsidR="004600F9" w:rsidRDefault="004600F9" w:rsidP="004600F9">
      <w:pPr>
        <w:numPr>
          <w:ilvl w:val="0"/>
          <w:numId w:val="1"/>
        </w:numPr>
        <w:tabs>
          <w:tab w:val="left" w:pos="475"/>
        </w:tabs>
        <w:ind w:left="1080" w:right="720" w:firstLine="0"/>
        <w:jc w:val="both"/>
        <w:rPr>
          <w:color w:val="000000"/>
        </w:rPr>
      </w:pPr>
      <w:r>
        <w:rPr>
          <w:color w:val="000000"/>
        </w:rPr>
        <w:t>Third</w:t>
      </w:r>
      <w:r w:rsidRPr="006817CA">
        <w:rPr>
          <w:color w:val="000000"/>
        </w:rPr>
        <w:t>, there is a clear results chain for each area in which UNFPA works: organizational effectiveness and efficiency enable the achievement of outputs, which in turn contribute directly to outcomes, which collectively lead to impact.  Thus there is a “many-to-one” relationship between the levels of development results, with several lower level results leading to one higher level result.  The fact that each output is tied directly to a specific outcome enables a clear theory of change for UNFPA’s work and so is an important element of the structure.</w:t>
      </w:r>
      <w:r>
        <w:rPr>
          <w:color w:val="000000"/>
        </w:rPr>
        <w:t xml:space="preserve">  (The theories of change are presented in annex 2 to the Strategic Plan.)</w:t>
      </w:r>
      <w:r w:rsidRPr="006817CA">
        <w:rPr>
          <w:color w:val="000000"/>
        </w:rPr>
        <w:t xml:space="preserve">  This does, however, pose a challenge related to the fact that any results framework is by definition a simplification of reality: in implementation, some outputs will contribute to multiple outcomes, which cannot be shown easily in a simple structure such as this.  This will be handled by highlighting these linkages in the narrative that describes the </w:t>
      </w:r>
      <w:r>
        <w:rPr>
          <w:color w:val="000000"/>
        </w:rPr>
        <w:t>theories of change</w:t>
      </w:r>
      <w:r w:rsidRPr="006817CA">
        <w:rPr>
          <w:color w:val="000000"/>
        </w:rPr>
        <w:t>.</w:t>
      </w:r>
    </w:p>
    <w:p w:rsidR="004600F9" w:rsidRDefault="004600F9" w:rsidP="004600F9">
      <w:pPr>
        <w:tabs>
          <w:tab w:val="left" w:pos="475"/>
        </w:tabs>
        <w:ind w:left="1080" w:right="720"/>
        <w:jc w:val="both"/>
        <w:rPr>
          <w:color w:val="000000"/>
        </w:rPr>
      </w:pPr>
    </w:p>
    <w:p w:rsidR="004600F9" w:rsidRPr="00254927" w:rsidRDefault="004600F9" w:rsidP="004600F9">
      <w:pPr>
        <w:numPr>
          <w:ilvl w:val="0"/>
          <w:numId w:val="1"/>
        </w:numPr>
        <w:tabs>
          <w:tab w:val="left" w:pos="475"/>
        </w:tabs>
        <w:ind w:left="1080" w:right="720" w:firstLine="0"/>
        <w:jc w:val="both"/>
        <w:rPr>
          <w:color w:val="000000"/>
        </w:rPr>
      </w:pPr>
      <w:r w:rsidRPr="00254927">
        <w:rPr>
          <w:color w:val="000000"/>
        </w:rPr>
        <w:lastRenderedPageBreak/>
        <w:t xml:space="preserve">Finally, this structure is being shared with other United Nations funds and programmes.  As described in more detail in the main Strategic Plan document (DP/FPA/2013/12), a consultative process – involving UNDP, UNICEF, UN-Women, and WFP in particular – has facilitated the adoption of common approaches in a number of areas.  One of these is the adoption of shared indicators for tracking the implementation of the QCPR.  In the IRF a number of indicators are labelled “shared QCPR”, which reflects the fact that each of the organizations </w:t>
      </w:r>
      <w:r>
        <w:rPr>
          <w:color w:val="000000"/>
        </w:rPr>
        <w:t>has</w:t>
      </w:r>
      <w:r w:rsidRPr="00254927">
        <w:rPr>
          <w:color w:val="000000"/>
        </w:rPr>
        <w:t xml:space="preserve"> included in the</w:t>
      </w:r>
      <w:r>
        <w:rPr>
          <w:color w:val="000000"/>
        </w:rPr>
        <w:t>ir</w:t>
      </w:r>
      <w:r w:rsidRPr="00254927">
        <w:rPr>
          <w:color w:val="000000"/>
        </w:rPr>
        <w:t xml:space="preserve"> respective results frameworks a common set of indicators that was developed as part of the United Nations Development Group action plan on the QCPR.  On account of differing business models, each organization will also assess some particularly relevant elements of QCPR implementation using indicator</w:t>
      </w:r>
      <w:r>
        <w:rPr>
          <w:color w:val="000000"/>
        </w:rPr>
        <w:t>s tailored to the specific issues that are most pertinent to the organization; these are labelled “QCPR”.</w:t>
      </w:r>
    </w:p>
    <w:p w:rsidR="004600F9" w:rsidRDefault="004600F9" w:rsidP="004600F9">
      <w:pPr>
        <w:tabs>
          <w:tab w:val="left" w:pos="475"/>
        </w:tabs>
        <w:ind w:left="1080" w:right="720"/>
        <w:jc w:val="both"/>
        <w:rPr>
          <w:color w:val="000000"/>
        </w:rPr>
      </w:pPr>
    </w:p>
    <w:p w:rsidR="004600F9" w:rsidRDefault="004600F9" w:rsidP="004600F9">
      <w:pPr>
        <w:numPr>
          <w:ilvl w:val="0"/>
          <w:numId w:val="1"/>
        </w:numPr>
        <w:tabs>
          <w:tab w:val="left" w:pos="475"/>
        </w:tabs>
        <w:ind w:left="1080" w:right="720" w:firstLine="0"/>
        <w:jc w:val="both"/>
        <w:rPr>
          <w:color w:val="000000"/>
        </w:rPr>
      </w:pPr>
      <w:r>
        <w:rPr>
          <w:color w:val="000000"/>
        </w:rPr>
        <w:t>Another element of this harmonization is definitional: t</w:t>
      </w:r>
      <w:r w:rsidRPr="006817CA">
        <w:rPr>
          <w:color w:val="000000"/>
        </w:rPr>
        <w:t>he terms in the results framework are being used in accordance with the United Nations Development Group Results-Based Management Handbook.  Thus “impact” refers to changes in people’s lives, which are typically the result of the actions of multiple actors.  These are clearly beyond the control of UNFPA, so changes at this level cannot be attributed solely to the work of the organization.  “Outcomes” represent changes in institutional and behavio</w:t>
      </w:r>
      <w:r>
        <w:rPr>
          <w:color w:val="000000"/>
        </w:rPr>
        <w:t>u</w:t>
      </w:r>
      <w:r w:rsidRPr="006817CA">
        <w:rPr>
          <w:color w:val="000000"/>
        </w:rPr>
        <w:t xml:space="preserve">ral capacities, which are also beyond the sole control of UNFPA.  By contrast, the term “outputs” </w:t>
      </w:r>
      <w:r>
        <w:rPr>
          <w:color w:val="000000"/>
        </w:rPr>
        <w:t xml:space="preserve">essentially </w:t>
      </w:r>
      <w:r w:rsidRPr="006817CA">
        <w:rPr>
          <w:color w:val="000000"/>
        </w:rPr>
        <w:t>refers to the products and services delivered by UNFPA, for which the organization has control and can be held accountable.  The indicators that will be used to track progress at this level will enable clear accountability for results.</w:t>
      </w:r>
    </w:p>
    <w:p w:rsidR="004600F9" w:rsidRDefault="004600F9" w:rsidP="004600F9">
      <w:pPr>
        <w:tabs>
          <w:tab w:val="left" w:pos="475"/>
        </w:tabs>
        <w:ind w:left="1080" w:right="720"/>
        <w:jc w:val="both"/>
        <w:rPr>
          <w:color w:val="000000"/>
        </w:rPr>
      </w:pPr>
    </w:p>
    <w:p w:rsidR="004600F9" w:rsidRDefault="004600F9" w:rsidP="004600F9">
      <w:pPr>
        <w:numPr>
          <w:ilvl w:val="0"/>
          <w:numId w:val="1"/>
        </w:numPr>
        <w:tabs>
          <w:tab w:val="left" w:pos="475"/>
        </w:tabs>
        <w:ind w:left="1080" w:right="720" w:firstLine="0"/>
        <w:jc w:val="both"/>
        <w:rPr>
          <w:color w:val="000000"/>
        </w:rPr>
      </w:pPr>
      <w:r w:rsidRPr="008E1280">
        <w:rPr>
          <w:color w:val="000000"/>
        </w:rPr>
        <w:t xml:space="preserve">However, there is a challenge in this structure: the gap between outcomes and outputs is often significant, making it hard to see the causal connections between the products and services UNFPA delivers (e.g., technical assistance to ministry of health staff on logistics management for reproductive health commodities) and the outcomes (e.g., the percentage of service delivery points that have no stock-outs in contraceptives within the last six months).  The missing level is typically around changes in national capacity (e.g., not just that the staff were trained, but that they have internalized the information and are able to put it into practice because they are paid regularly, have vehicles to transport contraceptives to service delivery points, are not forced to abandon their facilities because of civil unrest, and so on).  These changes in national capacity are also beyond the direct control of UNFPA, although the organization makes a strong contribution to them.  These changes are reflected in the output statements, which describe the </w:t>
      </w:r>
      <w:r>
        <w:rPr>
          <w:color w:val="000000"/>
        </w:rPr>
        <w:t>improvements</w:t>
      </w:r>
      <w:r w:rsidRPr="008E1280">
        <w:rPr>
          <w:color w:val="000000"/>
        </w:rPr>
        <w:t xml:space="preserve"> that intended to occur as a result of the products and services that UNFPA delivers.</w:t>
      </w:r>
    </w:p>
    <w:p w:rsidR="004600F9" w:rsidRDefault="004600F9" w:rsidP="004600F9">
      <w:pPr>
        <w:tabs>
          <w:tab w:val="left" w:pos="475"/>
        </w:tabs>
        <w:ind w:left="1080" w:right="720"/>
        <w:jc w:val="both"/>
        <w:rPr>
          <w:color w:val="000000"/>
        </w:rPr>
      </w:pPr>
    </w:p>
    <w:p w:rsidR="004600F9" w:rsidRDefault="004600F9" w:rsidP="004600F9">
      <w:pPr>
        <w:numPr>
          <w:ilvl w:val="0"/>
          <w:numId w:val="1"/>
        </w:numPr>
        <w:tabs>
          <w:tab w:val="left" w:pos="475"/>
        </w:tabs>
        <w:ind w:left="1080" w:right="720" w:firstLine="0"/>
        <w:jc w:val="both"/>
        <w:rPr>
          <w:color w:val="000000"/>
        </w:rPr>
      </w:pPr>
      <w:r>
        <w:rPr>
          <w:color w:val="000000"/>
        </w:rPr>
        <w:t>To ensure that the measurement of these changes enables the contribution of UNFPA to be clearly captured, the following approach has been used to establish annual targets for output indicators for which UNFPA can be held accountable:</w:t>
      </w:r>
    </w:p>
    <w:p w:rsidR="004600F9" w:rsidRDefault="004600F9" w:rsidP="004600F9">
      <w:pPr>
        <w:tabs>
          <w:tab w:val="left" w:pos="475"/>
        </w:tabs>
        <w:ind w:right="720"/>
        <w:jc w:val="both"/>
        <w:rPr>
          <w:color w:val="000000"/>
        </w:rPr>
      </w:pPr>
    </w:p>
    <w:p w:rsidR="004600F9" w:rsidRDefault="004600F9" w:rsidP="004600F9">
      <w:pPr>
        <w:numPr>
          <w:ilvl w:val="0"/>
          <w:numId w:val="3"/>
        </w:numPr>
        <w:tabs>
          <w:tab w:val="num" w:pos="720"/>
        </w:tabs>
        <w:ind w:right="720"/>
        <w:jc w:val="both"/>
      </w:pPr>
      <w:r>
        <w:t>A baseline was established that reflects the current situation in the countries in which UNFPA works, by means of a survey of every UNFPA country office.  For example, for the indicator “n</w:t>
      </w:r>
      <w:r w:rsidRPr="001A26EA">
        <w:t>umber of countries using a functional logistics management information systems for forecasting and monitoring reproductive health commodities</w:t>
      </w:r>
      <w:r>
        <w:t xml:space="preserve">”, every UNFPA country office was asked questions about the current state of logistics management information systems in that country.  A total of 75 countries were determined to have </w:t>
      </w:r>
      <w:r w:rsidRPr="001A26EA">
        <w:t>functional logistics management information systems for forecasting and monitoring reproductive health commodities</w:t>
      </w:r>
      <w:r>
        <w:t>.</w:t>
      </w:r>
    </w:p>
    <w:p w:rsidR="004600F9" w:rsidRDefault="004600F9" w:rsidP="004600F9">
      <w:pPr>
        <w:ind w:left="1800" w:right="720"/>
        <w:jc w:val="both"/>
      </w:pPr>
    </w:p>
    <w:p w:rsidR="004600F9" w:rsidRPr="00186429" w:rsidRDefault="004600F9" w:rsidP="004600F9">
      <w:pPr>
        <w:numPr>
          <w:ilvl w:val="0"/>
          <w:numId w:val="3"/>
        </w:numPr>
        <w:tabs>
          <w:tab w:val="num" w:pos="720"/>
        </w:tabs>
        <w:ind w:right="720"/>
        <w:jc w:val="both"/>
      </w:pPr>
      <w:r>
        <w:t xml:space="preserve">The country offices were then asked if they planned to work on the output over the period 2014-2017 and, if so, in which year.  For the indicator on logistics management information systems 36 additional country offices indicated that they planned to work on the issue by 2017, and so by that year, a total of 111 countries </w:t>
      </w:r>
      <w:r>
        <w:lastRenderedPageBreak/>
        <w:t>should have functional systems.  This figure of 111 countries is the 2017 target reflected in the IRF.</w:t>
      </w:r>
    </w:p>
    <w:p w:rsidR="004600F9" w:rsidRDefault="004600F9" w:rsidP="004600F9">
      <w:pPr>
        <w:tabs>
          <w:tab w:val="left" w:pos="475"/>
        </w:tabs>
        <w:ind w:left="1080" w:right="720"/>
        <w:jc w:val="both"/>
        <w:rPr>
          <w:color w:val="000000"/>
        </w:rPr>
      </w:pPr>
    </w:p>
    <w:p w:rsidR="004600F9" w:rsidRDefault="004600F9" w:rsidP="004600F9">
      <w:pPr>
        <w:numPr>
          <w:ilvl w:val="0"/>
          <w:numId w:val="1"/>
        </w:numPr>
        <w:tabs>
          <w:tab w:val="left" w:pos="475"/>
        </w:tabs>
        <w:ind w:left="1080" w:right="720" w:firstLine="0"/>
        <w:jc w:val="both"/>
        <w:rPr>
          <w:color w:val="000000"/>
        </w:rPr>
      </w:pPr>
      <w:r>
        <w:rPr>
          <w:color w:val="000000"/>
        </w:rPr>
        <w:t>The indicators at the impact and outcome level are handled differently, both because they typically do not change significantly on an annual basis and because many of the indicators cannot be measured annually, as they come from household surveys or other data-gathering that occurs less frequently than annually.  As a result, targets for these indicators are set only for 2015 and 2017.  Insofar as it is possible to collect data on these indicators in the intermediate years (i.e., 2014 and 2016), it will be included in reporting on the IRF.</w:t>
      </w:r>
    </w:p>
    <w:p w:rsidR="004600F9" w:rsidRDefault="004600F9" w:rsidP="004600F9">
      <w:pPr>
        <w:tabs>
          <w:tab w:val="left" w:pos="475"/>
        </w:tabs>
        <w:ind w:left="1080" w:right="720"/>
        <w:jc w:val="both"/>
        <w:rPr>
          <w:color w:val="000000"/>
        </w:rPr>
      </w:pPr>
    </w:p>
    <w:p w:rsidR="004600F9" w:rsidRDefault="004600F9" w:rsidP="004600F9">
      <w:pPr>
        <w:numPr>
          <w:ilvl w:val="0"/>
          <w:numId w:val="1"/>
        </w:numPr>
        <w:tabs>
          <w:tab w:val="left" w:pos="475"/>
        </w:tabs>
        <w:ind w:left="1080" w:right="720" w:firstLine="0"/>
        <w:jc w:val="both"/>
        <w:rPr>
          <w:color w:val="000000"/>
        </w:rPr>
      </w:pPr>
      <w:r>
        <w:rPr>
          <w:color w:val="000000"/>
        </w:rPr>
        <w:t>For indicators at the impact and outcome levels – and for a smaller set of indicators at the output level – data will be presented in disaggregated form broken down by the relevant demographic characteristics for a given indicator.  In particular, whenever possible data for these indicators will be broken down by sex, age, wealth quintile, location (urban/rural), ethnicity, and disability status.</w:t>
      </w:r>
    </w:p>
    <w:p w:rsidR="004600F9" w:rsidRDefault="004600F9" w:rsidP="004600F9">
      <w:pPr>
        <w:tabs>
          <w:tab w:val="left" w:pos="475"/>
        </w:tabs>
        <w:ind w:left="1080" w:right="720"/>
        <w:jc w:val="both"/>
        <w:rPr>
          <w:color w:val="000000"/>
        </w:rPr>
      </w:pPr>
    </w:p>
    <w:p w:rsidR="004600F9" w:rsidRDefault="004600F9" w:rsidP="004600F9">
      <w:pPr>
        <w:numPr>
          <w:ilvl w:val="0"/>
          <w:numId w:val="1"/>
        </w:numPr>
        <w:tabs>
          <w:tab w:val="left" w:pos="475"/>
        </w:tabs>
        <w:ind w:left="1080" w:right="720" w:firstLine="0"/>
        <w:jc w:val="both"/>
        <w:rPr>
          <w:color w:val="000000"/>
        </w:rPr>
      </w:pPr>
      <w:r>
        <w:rPr>
          <w:color w:val="000000"/>
        </w:rPr>
        <w:t>The means by which UNFPA will achieve the results set out in the IRF will vary by country context.  T</w:t>
      </w:r>
      <w:r w:rsidRPr="008E1280">
        <w:rPr>
          <w:color w:val="000000"/>
        </w:rPr>
        <w:t xml:space="preserve">he </w:t>
      </w:r>
      <w:r>
        <w:rPr>
          <w:color w:val="000000"/>
        </w:rPr>
        <w:t xml:space="preserve">four </w:t>
      </w:r>
      <w:r w:rsidRPr="008E1280">
        <w:rPr>
          <w:color w:val="000000"/>
        </w:rPr>
        <w:t>major programme strategies that UNFPA uses</w:t>
      </w:r>
      <w:r>
        <w:rPr>
          <w:color w:val="000000"/>
        </w:rPr>
        <w:t xml:space="preserve"> are </w:t>
      </w:r>
      <w:r w:rsidRPr="008E1280">
        <w:rPr>
          <w:color w:val="000000"/>
        </w:rPr>
        <w:t>advocacy and policy dialogue/advice</w:t>
      </w:r>
      <w:r>
        <w:rPr>
          <w:color w:val="000000"/>
        </w:rPr>
        <w:t>, knowledge management,</w:t>
      </w:r>
      <w:r w:rsidRPr="008E1280">
        <w:rPr>
          <w:color w:val="000000"/>
        </w:rPr>
        <w:t xml:space="preserve"> capacity development</w:t>
      </w:r>
      <w:r>
        <w:rPr>
          <w:color w:val="000000"/>
        </w:rPr>
        <w:t>,</w:t>
      </w:r>
      <w:r w:rsidRPr="008E1280">
        <w:rPr>
          <w:color w:val="000000"/>
        </w:rPr>
        <w:t xml:space="preserve"> and service delivery</w:t>
      </w:r>
      <w:r>
        <w:rPr>
          <w:color w:val="000000"/>
        </w:rPr>
        <w:t>.  These are described in more detail in annex 2 to the Strategic Plan, which presents theories of change for each outcome.  Annex 3 on the business model also provides additional information about how UNFPA engages in different settings.</w:t>
      </w:r>
    </w:p>
    <w:p w:rsidR="004600F9" w:rsidRDefault="004600F9" w:rsidP="004600F9">
      <w:pPr>
        <w:tabs>
          <w:tab w:val="left" w:pos="475"/>
        </w:tabs>
        <w:ind w:left="1080" w:right="720"/>
        <w:jc w:val="both"/>
        <w:rPr>
          <w:color w:val="000000"/>
        </w:rPr>
      </w:pPr>
    </w:p>
    <w:p w:rsidR="004600F9" w:rsidRDefault="004600F9" w:rsidP="004600F9">
      <w:pPr>
        <w:numPr>
          <w:ilvl w:val="0"/>
          <w:numId w:val="1"/>
        </w:numPr>
        <w:tabs>
          <w:tab w:val="left" w:pos="475"/>
        </w:tabs>
        <w:ind w:left="1080" w:right="720" w:firstLine="0"/>
        <w:jc w:val="both"/>
        <w:rPr>
          <w:color w:val="000000"/>
        </w:rPr>
      </w:pPr>
      <w:r w:rsidRPr="008E1280">
        <w:rPr>
          <w:color w:val="000000"/>
        </w:rPr>
        <w:t>As the organization is shifting its work upstream (i.e., to increased advocacy and policy dialogue/advice</w:t>
      </w:r>
      <w:r>
        <w:rPr>
          <w:color w:val="000000"/>
        </w:rPr>
        <w:t xml:space="preserve"> and away from service delivery</w:t>
      </w:r>
      <w:r w:rsidRPr="008E1280">
        <w:rPr>
          <w:color w:val="000000"/>
        </w:rPr>
        <w:t xml:space="preserve">), the </w:t>
      </w:r>
      <w:r>
        <w:rPr>
          <w:color w:val="000000"/>
        </w:rPr>
        <w:t>IRF includes</w:t>
      </w:r>
      <w:r w:rsidRPr="008E1280">
        <w:rPr>
          <w:color w:val="000000"/>
        </w:rPr>
        <w:t xml:space="preserve"> a number of new indicators that reflect the organization’s engagement in these areas</w:t>
      </w:r>
      <w:r>
        <w:rPr>
          <w:color w:val="000000"/>
        </w:rPr>
        <w:t xml:space="preserve">.  Although the bulk of the IRF focuses on changes at the country level, it also includes a number of new indicators that capture the work of the organization </w:t>
      </w:r>
      <w:r w:rsidRPr="008E1280">
        <w:rPr>
          <w:color w:val="000000"/>
        </w:rPr>
        <w:t>at the regional and global levels.</w:t>
      </w:r>
    </w:p>
    <w:p w:rsidR="004600F9" w:rsidRDefault="004600F9" w:rsidP="004600F9">
      <w:pPr>
        <w:tabs>
          <w:tab w:val="left" w:pos="475"/>
        </w:tabs>
        <w:ind w:left="1080" w:right="720"/>
        <w:jc w:val="both"/>
        <w:rPr>
          <w:color w:val="000000"/>
        </w:rPr>
      </w:pPr>
    </w:p>
    <w:p w:rsidR="004600F9" w:rsidRDefault="004600F9" w:rsidP="004600F9">
      <w:pPr>
        <w:numPr>
          <w:ilvl w:val="0"/>
          <w:numId w:val="1"/>
        </w:numPr>
        <w:tabs>
          <w:tab w:val="left" w:pos="475"/>
        </w:tabs>
        <w:ind w:left="1080" w:right="720" w:firstLine="0"/>
        <w:jc w:val="both"/>
        <w:rPr>
          <w:color w:val="000000"/>
        </w:rPr>
      </w:pPr>
      <w:r>
        <w:rPr>
          <w:color w:val="000000"/>
        </w:rPr>
        <w:t>However, it is important to note that the IRF cannot possibly capture every single activity that the organization carries out.  This reflects both prioritization – the IRF is intended to focus on the most important areas for the organization rather than being exhaustive – and the fact that some areas of work are intrinsically more challenging to measure.  This is particularly the case for upstream work, and so while the IRF is a significant step forward in terms of measuring the extent of advocacy and policy dialogue/advice and knowledge management work that the organization does, it is still only a partial reflection of this work.</w:t>
      </w:r>
    </w:p>
    <w:p w:rsidR="004600F9" w:rsidRDefault="004600F9" w:rsidP="004600F9">
      <w:pPr>
        <w:tabs>
          <w:tab w:val="left" w:pos="475"/>
        </w:tabs>
        <w:ind w:left="1080" w:right="720"/>
        <w:jc w:val="both"/>
        <w:rPr>
          <w:color w:val="000000"/>
        </w:rPr>
      </w:pPr>
    </w:p>
    <w:p w:rsidR="004600F9" w:rsidRPr="008E1280" w:rsidRDefault="004600F9" w:rsidP="004600F9">
      <w:pPr>
        <w:numPr>
          <w:ilvl w:val="0"/>
          <w:numId w:val="1"/>
        </w:numPr>
        <w:tabs>
          <w:tab w:val="left" w:pos="475"/>
        </w:tabs>
        <w:ind w:left="1080" w:right="720" w:firstLine="0"/>
        <w:jc w:val="both"/>
        <w:rPr>
          <w:color w:val="000000"/>
        </w:rPr>
      </w:pPr>
      <w:r>
        <w:rPr>
          <w:color w:val="000000"/>
        </w:rPr>
        <w:t>Finally, to complement the IRF “metadata sheets” are being prepared for the indicators.  These provide full definitions for each indicator, which helps ensure that the indicators themselves are not excessively complicated, and also ensures that any ambiguity in the wording of an indicator will not cause measurement challenges subsequently.  The</w:t>
      </w:r>
      <w:r w:rsidRPr="002C60D8">
        <w:rPr>
          <w:color w:val="000000"/>
        </w:rPr>
        <w:t xml:space="preserve"> </w:t>
      </w:r>
      <w:r>
        <w:rPr>
          <w:color w:val="000000"/>
        </w:rPr>
        <w:t>metadata sheets also detail the method of calculation, the data source, and how the targets were set.  Additionally, for indicators that focus on a particular geographic area, that is described in the metadata.  The metadata sheets will be finalized by September 2013 and made available publically.</w:t>
      </w:r>
    </w:p>
    <w:p w:rsidR="004600F9" w:rsidRDefault="004600F9" w:rsidP="004600F9">
      <w:pPr>
        <w:ind w:left="1080" w:right="720"/>
        <w:jc w:val="both"/>
        <w:rPr>
          <w:color w:val="000000"/>
        </w:rPr>
      </w:pPr>
    </w:p>
    <w:p w:rsidR="004600F9" w:rsidRDefault="004600F9" w:rsidP="004600F9">
      <w:pPr>
        <w:ind w:left="1080" w:right="720"/>
        <w:jc w:val="both"/>
        <w:rPr>
          <w:color w:val="000000"/>
        </w:rPr>
        <w:sectPr w:rsidR="004600F9" w:rsidSect="002E02F3">
          <w:headerReference w:type="even" r:id="rId11"/>
          <w:headerReference w:type="default" r:id="rId12"/>
          <w:footerReference w:type="even" r:id="rId13"/>
          <w:footerReference w:type="default" r:id="rId14"/>
          <w:pgSz w:w="12240" w:h="15840"/>
          <w:pgMar w:top="1440" w:right="1440" w:bottom="1440" w:left="1440" w:header="1008" w:footer="720" w:gutter="0"/>
          <w:cols w:space="720"/>
          <w:titlePg/>
          <w:docGrid w:linePitch="360"/>
        </w:sectPr>
      </w:pPr>
    </w:p>
    <w:p w:rsidR="004600F9" w:rsidRDefault="004600F9" w:rsidP="004600F9">
      <w:pPr>
        <w:pStyle w:val="Heading1"/>
        <w:numPr>
          <w:ilvl w:val="0"/>
          <w:numId w:val="4"/>
        </w:numPr>
        <w:ind w:right="720"/>
        <w:jc w:val="both"/>
        <w:rPr>
          <w:lang w:val="en-GB"/>
        </w:rPr>
      </w:pPr>
      <w:bookmarkStart w:id="2" w:name="_Toc365035038"/>
      <w:r>
        <w:rPr>
          <w:lang w:val="en-GB"/>
        </w:rPr>
        <w:lastRenderedPageBreak/>
        <w:t>Integrated results framework</w:t>
      </w:r>
      <w:bookmarkEnd w:id="2"/>
    </w:p>
    <w:tbl>
      <w:tblPr>
        <w:tblpPr w:leftFromText="180" w:rightFromText="180" w:vertAnchor="text" w:horzAnchor="margin" w:tblpY="405"/>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72" w:type="dxa"/>
        </w:tblCellMar>
        <w:tblLook w:val="04A0" w:firstRow="1" w:lastRow="0" w:firstColumn="1" w:lastColumn="0" w:noHBand="0" w:noVBand="1"/>
      </w:tblPr>
      <w:tblGrid>
        <w:gridCol w:w="804"/>
        <w:gridCol w:w="840"/>
        <w:gridCol w:w="231"/>
        <w:gridCol w:w="2232"/>
        <w:gridCol w:w="15"/>
        <w:gridCol w:w="2999"/>
        <w:gridCol w:w="420"/>
        <w:gridCol w:w="750"/>
        <w:gridCol w:w="270"/>
        <w:gridCol w:w="751"/>
        <w:gridCol w:w="886"/>
        <w:gridCol w:w="886"/>
        <w:gridCol w:w="886"/>
        <w:gridCol w:w="1710"/>
      </w:tblGrid>
      <w:tr w:rsidR="00080465" w:rsidRPr="001A26EA" w:rsidTr="00080465">
        <w:trPr>
          <w:trHeight w:val="315"/>
        </w:trPr>
        <w:tc>
          <w:tcPr>
            <w:tcW w:w="804" w:type="dxa"/>
            <w:shd w:val="clear" w:color="auto" w:fill="A6A6A6"/>
            <w:vAlign w:val="center"/>
            <w:hideMark/>
          </w:tcPr>
          <w:p w:rsidR="00080465" w:rsidRPr="001A26EA" w:rsidRDefault="00080465" w:rsidP="00080465">
            <w:pPr>
              <w:jc w:val="center"/>
              <w:rPr>
                <w:b/>
                <w:bCs/>
              </w:rPr>
            </w:pPr>
            <w:r w:rsidRPr="001A26EA">
              <w:rPr>
                <w:b/>
                <w:bCs/>
              </w:rPr>
              <w:t>Goal</w:t>
            </w:r>
          </w:p>
        </w:tc>
        <w:tc>
          <w:tcPr>
            <w:tcW w:w="1071" w:type="dxa"/>
            <w:gridSpan w:val="2"/>
            <w:shd w:val="clear" w:color="auto" w:fill="A6A6A6"/>
            <w:vAlign w:val="center"/>
            <w:hideMark/>
          </w:tcPr>
          <w:p w:rsidR="00080465" w:rsidRPr="001A26EA" w:rsidRDefault="00080465" w:rsidP="00080465">
            <w:pPr>
              <w:jc w:val="center"/>
              <w:rPr>
                <w:b/>
                <w:bCs/>
              </w:rPr>
            </w:pPr>
            <w:r w:rsidRPr="001A26EA">
              <w:rPr>
                <w:b/>
                <w:bCs/>
              </w:rPr>
              <w:t>Outcome</w:t>
            </w:r>
          </w:p>
        </w:tc>
        <w:tc>
          <w:tcPr>
            <w:tcW w:w="2232" w:type="dxa"/>
            <w:shd w:val="clear" w:color="auto" w:fill="A6A6A6"/>
            <w:vAlign w:val="center"/>
            <w:hideMark/>
          </w:tcPr>
          <w:p w:rsidR="00080465" w:rsidRPr="001A26EA" w:rsidRDefault="00080465" w:rsidP="00080465">
            <w:pPr>
              <w:jc w:val="center"/>
              <w:rPr>
                <w:b/>
                <w:bCs/>
              </w:rPr>
            </w:pPr>
            <w:r w:rsidRPr="001A26EA">
              <w:rPr>
                <w:b/>
                <w:bCs/>
              </w:rPr>
              <w:t>Output</w:t>
            </w:r>
          </w:p>
        </w:tc>
        <w:tc>
          <w:tcPr>
            <w:tcW w:w="3434" w:type="dxa"/>
            <w:gridSpan w:val="3"/>
            <w:shd w:val="clear" w:color="auto" w:fill="A6A6A6"/>
            <w:vAlign w:val="center"/>
            <w:hideMark/>
          </w:tcPr>
          <w:p w:rsidR="00080465" w:rsidRPr="001A26EA" w:rsidRDefault="00080465" w:rsidP="00080465">
            <w:pPr>
              <w:jc w:val="center"/>
              <w:rPr>
                <w:b/>
                <w:bCs/>
              </w:rPr>
            </w:pPr>
            <w:r w:rsidRPr="001A26EA">
              <w:rPr>
                <w:b/>
                <w:bCs/>
              </w:rPr>
              <w:t>Indicator</w:t>
            </w:r>
          </w:p>
        </w:tc>
        <w:tc>
          <w:tcPr>
            <w:tcW w:w="1020" w:type="dxa"/>
            <w:gridSpan w:val="2"/>
            <w:shd w:val="clear" w:color="auto" w:fill="A6A6A6"/>
            <w:vAlign w:val="center"/>
            <w:hideMark/>
          </w:tcPr>
          <w:p w:rsidR="00080465" w:rsidRPr="001A26EA" w:rsidRDefault="00080465" w:rsidP="00080465">
            <w:pPr>
              <w:jc w:val="center"/>
              <w:rPr>
                <w:b/>
                <w:bCs/>
              </w:rPr>
            </w:pPr>
            <w:r w:rsidRPr="001A26EA">
              <w:rPr>
                <w:b/>
                <w:bCs/>
              </w:rPr>
              <w:t>2012 actual</w:t>
            </w:r>
          </w:p>
        </w:tc>
        <w:tc>
          <w:tcPr>
            <w:tcW w:w="751" w:type="dxa"/>
            <w:shd w:val="clear" w:color="auto" w:fill="A6A6A6"/>
            <w:vAlign w:val="center"/>
            <w:hideMark/>
          </w:tcPr>
          <w:p w:rsidR="00080465" w:rsidRPr="001A26EA" w:rsidRDefault="00080465" w:rsidP="00080465">
            <w:pPr>
              <w:jc w:val="center"/>
              <w:rPr>
                <w:b/>
                <w:bCs/>
              </w:rPr>
            </w:pPr>
            <w:r w:rsidRPr="001A26EA">
              <w:rPr>
                <w:b/>
                <w:bCs/>
              </w:rPr>
              <w:t>2014 target</w:t>
            </w:r>
          </w:p>
        </w:tc>
        <w:tc>
          <w:tcPr>
            <w:tcW w:w="886" w:type="dxa"/>
            <w:shd w:val="clear" w:color="auto" w:fill="A6A6A6"/>
            <w:vAlign w:val="center"/>
            <w:hideMark/>
          </w:tcPr>
          <w:p w:rsidR="00080465" w:rsidRPr="001A26EA" w:rsidRDefault="00080465" w:rsidP="00080465">
            <w:pPr>
              <w:jc w:val="center"/>
              <w:rPr>
                <w:b/>
                <w:bCs/>
              </w:rPr>
            </w:pPr>
            <w:r w:rsidRPr="001A26EA">
              <w:rPr>
                <w:b/>
                <w:bCs/>
              </w:rPr>
              <w:t>2015 target</w:t>
            </w:r>
          </w:p>
        </w:tc>
        <w:tc>
          <w:tcPr>
            <w:tcW w:w="886" w:type="dxa"/>
            <w:shd w:val="clear" w:color="auto" w:fill="A6A6A6"/>
            <w:vAlign w:val="center"/>
            <w:hideMark/>
          </w:tcPr>
          <w:p w:rsidR="00080465" w:rsidRPr="001A26EA" w:rsidRDefault="00080465" w:rsidP="00080465">
            <w:pPr>
              <w:jc w:val="center"/>
              <w:rPr>
                <w:b/>
                <w:bCs/>
              </w:rPr>
            </w:pPr>
            <w:r w:rsidRPr="001A26EA">
              <w:rPr>
                <w:b/>
                <w:bCs/>
              </w:rPr>
              <w:t>2016 target</w:t>
            </w:r>
          </w:p>
        </w:tc>
        <w:tc>
          <w:tcPr>
            <w:tcW w:w="886" w:type="dxa"/>
            <w:shd w:val="clear" w:color="auto" w:fill="A6A6A6"/>
            <w:vAlign w:val="center"/>
            <w:hideMark/>
          </w:tcPr>
          <w:p w:rsidR="00080465" w:rsidRPr="001A26EA" w:rsidRDefault="00080465" w:rsidP="00080465">
            <w:pPr>
              <w:jc w:val="center"/>
              <w:rPr>
                <w:b/>
                <w:bCs/>
              </w:rPr>
            </w:pPr>
            <w:r w:rsidRPr="001A26EA">
              <w:rPr>
                <w:b/>
                <w:bCs/>
              </w:rPr>
              <w:t>2017 target</w:t>
            </w:r>
          </w:p>
        </w:tc>
        <w:tc>
          <w:tcPr>
            <w:tcW w:w="1710" w:type="dxa"/>
            <w:shd w:val="clear" w:color="auto" w:fill="A6A6A6"/>
            <w:vAlign w:val="center"/>
            <w:hideMark/>
          </w:tcPr>
          <w:p w:rsidR="00080465" w:rsidRPr="001A26EA" w:rsidRDefault="00080465" w:rsidP="00080465">
            <w:pPr>
              <w:jc w:val="center"/>
              <w:rPr>
                <w:b/>
                <w:bCs/>
              </w:rPr>
            </w:pPr>
            <w:r w:rsidRPr="001A26EA">
              <w:rPr>
                <w:b/>
                <w:bCs/>
              </w:rPr>
              <w:t>Data source</w:t>
            </w:r>
            <w:r>
              <w:rPr>
                <w:b/>
                <w:bCs/>
              </w:rPr>
              <w:t xml:space="preserve"> for reporting</w:t>
            </w:r>
          </w:p>
        </w:tc>
      </w:tr>
      <w:tr w:rsidR="00080465" w:rsidRPr="001A26EA" w:rsidTr="00080465">
        <w:trPr>
          <w:trHeight w:val="600"/>
        </w:trPr>
        <w:tc>
          <w:tcPr>
            <w:tcW w:w="4107" w:type="dxa"/>
            <w:gridSpan w:val="4"/>
            <w:vMerge w:val="restart"/>
            <w:shd w:val="clear" w:color="auto" w:fill="BFBFBF"/>
            <w:hideMark/>
          </w:tcPr>
          <w:p w:rsidR="00080465" w:rsidRPr="001A26EA" w:rsidRDefault="00080465" w:rsidP="00080465">
            <w:r w:rsidRPr="00F43D71">
              <w:rPr>
                <w:b/>
              </w:rPr>
              <w:t>Goal:</w:t>
            </w:r>
            <w:r w:rsidRPr="001A26EA">
              <w:t xml:space="preserve"> Achieve universal access to sexual and reproductive health, realize reproductive rights, and reduce maternal mortality to accelerate progress on the ICPD agenda, to improve the lives of adolescents and youth, and women, enabled by population dynamics, human rights, and gender equality</w:t>
            </w:r>
          </w:p>
        </w:tc>
        <w:tc>
          <w:tcPr>
            <w:tcW w:w="3434" w:type="dxa"/>
            <w:gridSpan w:val="3"/>
            <w:hideMark/>
          </w:tcPr>
          <w:p w:rsidR="00080465" w:rsidRPr="001A26EA" w:rsidRDefault="00080465" w:rsidP="00080465">
            <w:r w:rsidRPr="001A26EA">
              <w:t>Impact indicator 1: Maternal mortality ratio</w:t>
            </w:r>
          </w:p>
        </w:tc>
        <w:tc>
          <w:tcPr>
            <w:tcW w:w="1020" w:type="dxa"/>
            <w:gridSpan w:val="2"/>
            <w:hideMark/>
          </w:tcPr>
          <w:p w:rsidR="00080465" w:rsidRPr="001A26EA" w:rsidRDefault="00080465" w:rsidP="00080465">
            <w:r w:rsidRPr="001A26EA">
              <w:t>210</w:t>
            </w:r>
          </w:p>
        </w:tc>
        <w:tc>
          <w:tcPr>
            <w:tcW w:w="751" w:type="dxa"/>
            <w:hideMark/>
          </w:tcPr>
          <w:p w:rsidR="00080465" w:rsidRPr="001A26EA" w:rsidRDefault="00080465" w:rsidP="00080465">
            <w:r w:rsidRPr="001A26EA">
              <w:t> </w:t>
            </w:r>
          </w:p>
        </w:tc>
        <w:tc>
          <w:tcPr>
            <w:tcW w:w="886" w:type="dxa"/>
            <w:hideMark/>
          </w:tcPr>
          <w:p w:rsidR="00080465" w:rsidRPr="001A26EA" w:rsidRDefault="00080465" w:rsidP="00080465">
            <w:r w:rsidRPr="001A26EA">
              <w:t>173</w:t>
            </w:r>
          </w:p>
        </w:tc>
        <w:tc>
          <w:tcPr>
            <w:tcW w:w="886" w:type="dxa"/>
            <w:hideMark/>
          </w:tcPr>
          <w:p w:rsidR="00080465" w:rsidRPr="001A26EA" w:rsidRDefault="00080465" w:rsidP="00080465">
            <w:r w:rsidRPr="001A26EA">
              <w:t> </w:t>
            </w:r>
          </w:p>
        </w:tc>
        <w:tc>
          <w:tcPr>
            <w:tcW w:w="886" w:type="dxa"/>
            <w:hideMark/>
          </w:tcPr>
          <w:p w:rsidR="00080465" w:rsidRPr="001A26EA" w:rsidRDefault="00080465" w:rsidP="00080465">
            <w:r w:rsidRPr="001A26EA">
              <w:t>160</w:t>
            </w:r>
          </w:p>
        </w:tc>
        <w:tc>
          <w:tcPr>
            <w:tcW w:w="1710" w:type="dxa"/>
            <w:hideMark/>
          </w:tcPr>
          <w:p w:rsidR="00080465" w:rsidRPr="001A26EA" w:rsidRDefault="00080465" w:rsidP="00080465">
            <w:r w:rsidRPr="001A26EA">
              <w:t xml:space="preserve">Maternal Mortality Estimation </w:t>
            </w:r>
            <w:r>
              <w:t xml:space="preserve">Inter-agency </w:t>
            </w:r>
            <w:r w:rsidRPr="001A26EA">
              <w:t>Group</w:t>
            </w:r>
            <w:r>
              <w:t xml:space="preserve"> (MMEIG)</w:t>
            </w:r>
          </w:p>
        </w:tc>
      </w:tr>
      <w:tr w:rsidR="00080465" w:rsidRPr="004E024C" w:rsidTr="00080465">
        <w:trPr>
          <w:trHeight w:val="300"/>
        </w:trPr>
        <w:tc>
          <w:tcPr>
            <w:tcW w:w="4107" w:type="dxa"/>
            <w:gridSpan w:val="4"/>
            <w:vMerge/>
            <w:shd w:val="clear" w:color="auto" w:fill="BFBFBF"/>
            <w:hideMark/>
          </w:tcPr>
          <w:p w:rsidR="00080465" w:rsidRPr="001A26EA" w:rsidRDefault="00080465" w:rsidP="00080465"/>
        </w:tc>
        <w:tc>
          <w:tcPr>
            <w:tcW w:w="3434" w:type="dxa"/>
            <w:gridSpan w:val="3"/>
            <w:hideMark/>
          </w:tcPr>
          <w:p w:rsidR="00080465" w:rsidRPr="001A26EA" w:rsidRDefault="00080465" w:rsidP="00080465">
            <w:r w:rsidRPr="001A26EA">
              <w:t>Impact indicator 2: Adolescent birth rate</w:t>
            </w:r>
          </w:p>
        </w:tc>
        <w:tc>
          <w:tcPr>
            <w:tcW w:w="1020" w:type="dxa"/>
            <w:gridSpan w:val="2"/>
            <w:hideMark/>
          </w:tcPr>
          <w:p w:rsidR="00080465" w:rsidRPr="001A26EA" w:rsidRDefault="00080465" w:rsidP="00080465">
            <w:r w:rsidRPr="001A26EA">
              <w:t>53.9</w:t>
            </w:r>
          </w:p>
        </w:tc>
        <w:tc>
          <w:tcPr>
            <w:tcW w:w="751" w:type="dxa"/>
            <w:hideMark/>
          </w:tcPr>
          <w:p w:rsidR="00080465" w:rsidRPr="001A26EA" w:rsidRDefault="00080465" w:rsidP="00080465">
            <w:r w:rsidRPr="001A26EA">
              <w:t> </w:t>
            </w:r>
          </w:p>
        </w:tc>
        <w:tc>
          <w:tcPr>
            <w:tcW w:w="886" w:type="dxa"/>
            <w:hideMark/>
          </w:tcPr>
          <w:p w:rsidR="00080465" w:rsidRPr="001A26EA" w:rsidRDefault="00080465" w:rsidP="00080465">
            <w:r w:rsidRPr="001A26EA">
              <w:t>45</w:t>
            </w:r>
          </w:p>
        </w:tc>
        <w:tc>
          <w:tcPr>
            <w:tcW w:w="886" w:type="dxa"/>
            <w:hideMark/>
          </w:tcPr>
          <w:p w:rsidR="00080465" w:rsidRPr="001A26EA" w:rsidRDefault="00080465" w:rsidP="00080465">
            <w:r w:rsidRPr="001A26EA">
              <w:t> </w:t>
            </w:r>
          </w:p>
        </w:tc>
        <w:tc>
          <w:tcPr>
            <w:tcW w:w="886" w:type="dxa"/>
            <w:hideMark/>
          </w:tcPr>
          <w:p w:rsidR="00080465" w:rsidRPr="001A26EA" w:rsidRDefault="00080465" w:rsidP="00080465">
            <w:r w:rsidRPr="001A26EA">
              <w:t>42</w:t>
            </w:r>
          </w:p>
        </w:tc>
        <w:tc>
          <w:tcPr>
            <w:tcW w:w="1710" w:type="dxa"/>
            <w:hideMark/>
          </w:tcPr>
          <w:p w:rsidR="00080465" w:rsidRPr="000E5B10" w:rsidRDefault="00080465" w:rsidP="00080465">
            <w:r>
              <w:t>UNFPA’s MDG5b+Info database</w:t>
            </w:r>
          </w:p>
        </w:tc>
      </w:tr>
      <w:tr w:rsidR="00080465" w:rsidRPr="001A26EA" w:rsidTr="00080465">
        <w:trPr>
          <w:trHeight w:val="600"/>
        </w:trPr>
        <w:tc>
          <w:tcPr>
            <w:tcW w:w="4107" w:type="dxa"/>
            <w:gridSpan w:val="4"/>
            <w:vMerge/>
            <w:shd w:val="clear" w:color="auto" w:fill="BFBFBF"/>
            <w:hideMark/>
          </w:tcPr>
          <w:p w:rsidR="00080465" w:rsidRPr="000E5B10" w:rsidRDefault="00080465" w:rsidP="00080465">
            <w:pPr>
              <w:rPr>
                <w:lang w:val="es-CO"/>
              </w:rPr>
            </w:pPr>
          </w:p>
        </w:tc>
        <w:tc>
          <w:tcPr>
            <w:tcW w:w="3434" w:type="dxa"/>
            <w:gridSpan w:val="3"/>
            <w:hideMark/>
          </w:tcPr>
          <w:p w:rsidR="00080465" w:rsidRPr="001A26EA" w:rsidRDefault="00080465" w:rsidP="00080465">
            <w:r w:rsidRPr="001A26EA">
              <w:t>Impact indicator 3:</w:t>
            </w:r>
            <w:r>
              <w:t xml:space="preserve"> </w:t>
            </w:r>
            <w:r w:rsidRPr="001A26EA">
              <w:t>HIV prevalence among population aged 15-24 years (</w:t>
            </w:r>
            <w:r>
              <w:t>t</w:t>
            </w:r>
            <w:r w:rsidRPr="001A26EA">
              <w:t>otal/</w:t>
            </w:r>
            <w:r>
              <w:t>female</w:t>
            </w:r>
            <w:r w:rsidRPr="001A26EA">
              <w:t>/</w:t>
            </w:r>
            <w:r>
              <w:t>male</w:t>
            </w:r>
            <w:r w:rsidRPr="001A26EA">
              <w:t>)</w:t>
            </w:r>
          </w:p>
        </w:tc>
        <w:tc>
          <w:tcPr>
            <w:tcW w:w="1020" w:type="dxa"/>
            <w:gridSpan w:val="2"/>
            <w:hideMark/>
          </w:tcPr>
          <w:p w:rsidR="00080465" w:rsidRDefault="00080465" w:rsidP="00080465">
            <w:r w:rsidRPr="001A26EA">
              <w:t>0.4/</w:t>
            </w:r>
          </w:p>
          <w:p w:rsidR="00080465" w:rsidRDefault="00080465" w:rsidP="00080465">
            <w:r w:rsidRPr="001A26EA">
              <w:t>0.5/</w:t>
            </w:r>
          </w:p>
          <w:p w:rsidR="00080465" w:rsidRPr="001A26EA" w:rsidRDefault="00080465" w:rsidP="00080465">
            <w:r w:rsidRPr="001A26EA">
              <w:t>0.3</w:t>
            </w:r>
          </w:p>
        </w:tc>
        <w:tc>
          <w:tcPr>
            <w:tcW w:w="751" w:type="dxa"/>
            <w:hideMark/>
          </w:tcPr>
          <w:p w:rsidR="00080465" w:rsidRPr="001A26EA" w:rsidRDefault="00080465" w:rsidP="00080465">
            <w:r w:rsidRPr="001A26EA">
              <w:t> </w:t>
            </w:r>
          </w:p>
        </w:tc>
        <w:tc>
          <w:tcPr>
            <w:tcW w:w="886" w:type="dxa"/>
            <w:hideMark/>
          </w:tcPr>
          <w:p w:rsidR="00080465" w:rsidRDefault="00080465" w:rsidP="00080465">
            <w:r w:rsidRPr="001A26EA">
              <w:t>0.33/</w:t>
            </w:r>
          </w:p>
          <w:p w:rsidR="00080465" w:rsidRDefault="00080465" w:rsidP="00080465">
            <w:r w:rsidRPr="001A26EA">
              <w:t>0.45/</w:t>
            </w:r>
          </w:p>
          <w:p w:rsidR="00080465" w:rsidRPr="001A26EA" w:rsidRDefault="00080465" w:rsidP="00080465">
            <w:r w:rsidRPr="001A26EA">
              <w:t>0.22</w:t>
            </w:r>
          </w:p>
        </w:tc>
        <w:tc>
          <w:tcPr>
            <w:tcW w:w="886" w:type="dxa"/>
            <w:hideMark/>
          </w:tcPr>
          <w:p w:rsidR="00080465" w:rsidRPr="001A26EA" w:rsidRDefault="00080465" w:rsidP="00080465">
            <w:r w:rsidRPr="001A26EA">
              <w:t> </w:t>
            </w:r>
          </w:p>
        </w:tc>
        <w:tc>
          <w:tcPr>
            <w:tcW w:w="886" w:type="dxa"/>
            <w:hideMark/>
          </w:tcPr>
          <w:p w:rsidR="00080465" w:rsidRDefault="00080465" w:rsidP="00080465">
            <w:r w:rsidRPr="001A26EA">
              <w:t>0.3/</w:t>
            </w:r>
          </w:p>
          <w:p w:rsidR="00080465" w:rsidRDefault="00080465" w:rsidP="00080465">
            <w:r w:rsidRPr="001A26EA">
              <w:t>0.4/</w:t>
            </w:r>
          </w:p>
          <w:p w:rsidR="00080465" w:rsidRPr="001A26EA" w:rsidRDefault="00080465" w:rsidP="00080465">
            <w:r w:rsidRPr="001A26EA">
              <w:t>0.2</w:t>
            </w:r>
          </w:p>
        </w:tc>
        <w:tc>
          <w:tcPr>
            <w:tcW w:w="1710" w:type="dxa"/>
            <w:hideMark/>
          </w:tcPr>
          <w:p w:rsidR="00080465" w:rsidRPr="001A26EA" w:rsidRDefault="00080465" w:rsidP="00080465">
            <w:r>
              <w:t>UNFPA’s MDG5b+Info database</w:t>
            </w:r>
          </w:p>
        </w:tc>
      </w:tr>
      <w:tr w:rsidR="00080465" w:rsidRPr="001A26EA" w:rsidTr="00080465">
        <w:trPr>
          <w:trHeight w:val="600"/>
        </w:trPr>
        <w:tc>
          <w:tcPr>
            <w:tcW w:w="4107" w:type="dxa"/>
            <w:gridSpan w:val="4"/>
            <w:vMerge/>
            <w:shd w:val="clear" w:color="auto" w:fill="BFBFBF"/>
            <w:hideMark/>
          </w:tcPr>
          <w:p w:rsidR="00080465" w:rsidRPr="001A26EA" w:rsidRDefault="00080465" w:rsidP="00080465"/>
        </w:tc>
        <w:tc>
          <w:tcPr>
            <w:tcW w:w="3434" w:type="dxa"/>
            <w:gridSpan w:val="3"/>
            <w:hideMark/>
          </w:tcPr>
          <w:p w:rsidR="00080465" w:rsidRPr="001A26EA" w:rsidRDefault="00080465" w:rsidP="00080465">
            <w:r w:rsidRPr="001A26EA">
              <w:t>Impact indicator 4: Percentage of women 20-24 married/in-union before age 18</w:t>
            </w:r>
          </w:p>
        </w:tc>
        <w:tc>
          <w:tcPr>
            <w:tcW w:w="1020" w:type="dxa"/>
            <w:gridSpan w:val="2"/>
            <w:hideMark/>
          </w:tcPr>
          <w:p w:rsidR="00080465" w:rsidRPr="001A26EA" w:rsidRDefault="00080465" w:rsidP="00080465">
            <w:r w:rsidRPr="001A26EA">
              <w:t>33.5</w:t>
            </w:r>
          </w:p>
        </w:tc>
        <w:tc>
          <w:tcPr>
            <w:tcW w:w="751" w:type="dxa"/>
            <w:hideMark/>
          </w:tcPr>
          <w:p w:rsidR="00080465" w:rsidRPr="001A26EA" w:rsidRDefault="00080465" w:rsidP="00080465">
            <w:r w:rsidRPr="001A26EA">
              <w:t> </w:t>
            </w:r>
          </w:p>
        </w:tc>
        <w:tc>
          <w:tcPr>
            <w:tcW w:w="886" w:type="dxa"/>
            <w:hideMark/>
          </w:tcPr>
          <w:p w:rsidR="00080465" w:rsidRPr="001A26EA" w:rsidRDefault="00080465" w:rsidP="00080465">
            <w:r w:rsidRPr="001A26EA">
              <w:t>29</w:t>
            </w:r>
          </w:p>
        </w:tc>
        <w:tc>
          <w:tcPr>
            <w:tcW w:w="886" w:type="dxa"/>
            <w:hideMark/>
          </w:tcPr>
          <w:p w:rsidR="00080465" w:rsidRPr="001A26EA" w:rsidRDefault="00080465" w:rsidP="00080465">
            <w:r w:rsidRPr="001A26EA">
              <w:t> </w:t>
            </w:r>
          </w:p>
        </w:tc>
        <w:tc>
          <w:tcPr>
            <w:tcW w:w="886" w:type="dxa"/>
            <w:hideMark/>
          </w:tcPr>
          <w:p w:rsidR="00080465" w:rsidRPr="001A26EA" w:rsidRDefault="00080465" w:rsidP="00080465">
            <w:r w:rsidRPr="001A26EA">
              <w:t>27</w:t>
            </w:r>
          </w:p>
        </w:tc>
        <w:tc>
          <w:tcPr>
            <w:tcW w:w="1710" w:type="dxa"/>
            <w:hideMark/>
          </w:tcPr>
          <w:p w:rsidR="00080465" w:rsidRPr="001A26EA" w:rsidRDefault="00080465" w:rsidP="00080465">
            <w:r>
              <w:t>UNFPA’s MDG5b+Info database</w:t>
            </w:r>
          </w:p>
        </w:tc>
      </w:tr>
      <w:tr w:rsidR="00080465" w:rsidRPr="001A26EA" w:rsidTr="00080465">
        <w:trPr>
          <w:trHeight w:val="1061"/>
        </w:trPr>
        <w:tc>
          <w:tcPr>
            <w:tcW w:w="4107" w:type="dxa"/>
            <w:gridSpan w:val="4"/>
            <w:vMerge/>
            <w:shd w:val="clear" w:color="auto" w:fill="BFBFBF"/>
            <w:hideMark/>
          </w:tcPr>
          <w:p w:rsidR="00080465" w:rsidRPr="001A26EA" w:rsidRDefault="00080465" w:rsidP="00080465"/>
        </w:tc>
        <w:tc>
          <w:tcPr>
            <w:tcW w:w="3434" w:type="dxa"/>
            <w:gridSpan w:val="3"/>
            <w:hideMark/>
          </w:tcPr>
          <w:p w:rsidR="00080465" w:rsidRPr="001A26EA" w:rsidRDefault="00080465" w:rsidP="00080465">
            <w:r w:rsidRPr="001A26EA">
              <w:t>Impact indicator 5: Proportion of ever-married or partnered women aged 15-49 who experienced physical or sexual violence from a male intimate partner in the past 12 months</w:t>
            </w:r>
          </w:p>
        </w:tc>
        <w:tc>
          <w:tcPr>
            <w:tcW w:w="1020" w:type="dxa"/>
            <w:gridSpan w:val="2"/>
            <w:hideMark/>
          </w:tcPr>
          <w:p w:rsidR="00080465" w:rsidRPr="001A26EA" w:rsidRDefault="00080465" w:rsidP="00080465">
            <w:r w:rsidRPr="001A26EA">
              <w:t>28.5</w:t>
            </w:r>
          </w:p>
        </w:tc>
        <w:tc>
          <w:tcPr>
            <w:tcW w:w="751" w:type="dxa"/>
            <w:hideMark/>
          </w:tcPr>
          <w:p w:rsidR="00080465" w:rsidRPr="001A26EA" w:rsidRDefault="00080465" w:rsidP="00080465">
            <w:r w:rsidRPr="001A26EA">
              <w:t> </w:t>
            </w:r>
          </w:p>
        </w:tc>
        <w:tc>
          <w:tcPr>
            <w:tcW w:w="886" w:type="dxa"/>
            <w:hideMark/>
          </w:tcPr>
          <w:p w:rsidR="00080465" w:rsidRPr="001A26EA" w:rsidRDefault="00080465" w:rsidP="00080465">
            <w:r w:rsidRPr="001A26EA">
              <w:t>24</w:t>
            </w:r>
          </w:p>
        </w:tc>
        <w:tc>
          <w:tcPr>
            <w:tcW w:w="886" w:type="dxa"/>
            <w:hideMark/>
          </w:tcPr>
          <w:p w:rsidR="00080465" w:rsidRPr="001A26EA" w:rsidRDefault="00080465" w:rsidP="00080465">
            <w:r w:rsidRPr="001A26EA">
              <w:t> </w:t>
            </w:r>
          </w:p>
        </w:tc>
        <w:tc>
          <w:tcPr>
            <w:tcW w:w="886" w:type="dxa"/>
            <w:hideMark/>
          </w:tcPr>
          <w:p w:rsidR="00080465" w:rsidRPr="001A26EA" w:rsidRDefault="00080465" w:rsidP="00080465">
            <w:r w:rsidRPr="001A26EA">
              <w:t>22.5</w:t>
            </w:r>
          </w:p>
        </w:tc>
        <w:tc>
          <w:tcPr>
            <w:tcW w:w="1710" w:type="dxa"/>
            <w:hideMark/>
          </w:tcPr>
          <w:p w:rsidR="00080465" w:rsidRPr="001A26EA" w:rsidRDefault="00080465" w:rsidP="00080465">
            <w:r>
              <w:t>UNFPA’s MDG5b+Info database</w:t>
            </w:r>
          </w:p>
        </w:tc>
      </w:tr>
      <w:tr w:rsidR="00080465" w:rsidRPr="001A26EA" w:rsidTr="00080465">
        <w:trPr>
          <w:trHeight w:val="1215"/>
        </w:trPr>
        <w:tc>
          <w:tcPr>
            <w:tcW w:w="4107" w:type="dxa"/>
            <w:gridSpan w:val="4"/>
            <w:vMerge/>
            <w:shd w:val="clear" w:color="auto" w:fill="BFBFBF"/>
          </w:tcPr>
          <w:p w:rsidR="00080465" w:rsidRPr="001A26EA" w:rsidRDefault="00080465" w:rsidP="00080465"/>
        </w:tc>
        <w:tc>
          <w:tcPr>
            <w:tcW w:w="3434" w:type="dxa"/>
            <w:gridSpan w:val="3"/>
          </w:tcPr>
          <w:p w:rsidR="00080465" w:rsidRPr="001A26EA" w:rsidRDefault="00080465" w:rsidP="00080465">
            <w:r>
              <w:t xml:space="preserve">Impact indicator 6: </w:t>
            </w:r>
            <w:r w:rsidRPr="00DF77AA">
              <w:t>Number of countries that have ratified the C</w:t>
            </w:r>
            <w:r>
              <w:t xml:space="preserve">ovenant on </w:t>
            </w:r>
            <w:r w:rsidRPr="00DF77AA">
              <w:t>E</w:t>
            </w:r>
            <w:r>
              <w:t xml:space="preserve">conomic, </w:t>
            </w:r>
            <w:r w:rsidRPr="00DF77AA">
              <w:t>S</w:t>
            </w:r>
            <w:r>
              <w:t xml:space="preserve">ocial, and </w:t>
            </w:r>
            <w:r w:rsidRPr="00DF77AA">
              <w:t>C</w:t>
            </w:r>
            <w:r>
              <w:t xml:space="preserve">ultural </w:t>
            </w:r>
            <w:r w:rsidRPr="00DF77AA">
              <w:t>R</w:t>
            </w:r>
            <w:r>
              <w:t>ights</w:t>
            </w:r>
            <w:r w:rsidRPr="00DF77AA">
              <w:t xml:space="preserve">, </w:t>
            </w:r>
            <w:r>
              <w:t xml:space="preserve">the </w:t>
            </w:r>
            <w:r w:rsidRPr="00B661F2">
              <w:t>Convention to Eliminate All Forms of Discrimination Against Women</w:t>
            </w:r>
            <w:r>
              <w:t xml:space="preserve">, the </w:t>
            </w:r>
            <w:r w:rsidRPr="00DF77AA">
              <w:t>C</w:t>
            </w:r>
            <w:r>
              <w:t xml:space="preserve">onvention on the </w:t>
            </w:r>
            <w:r w:rsidRPr="00DF77AA">
              <w:t>R</w:t>
            </w:r>
            <w:r>
              <w:t xml:space="preserve">ights of </w:t>
            </w:r>
            <w:r w:rsidRPr="00DF77AA">
              <w:t>D</w:t>
            </w:r>
            <w:r>
              <w:t xml:space="preserve">isabled </w:t>
            </w:r>
            <w:r w:rsidRPr="00DF77AA">
              <w:t>P</w:t>
            </w:r>
            <w:r>
              <w:t>eople</w:t>
            </w:r>
            <w:r w:rsidRPr="00DF77AA">
              <w:t>, and their corresponding optional protocols</w:t>
            </w:r>
          </w:p>
        </w:tc>
        <w:tc>
          <w:tcPr>
            <w:tcW w:w="1020" w:type="dxa"/>
            <w:gridSpan w:val="2"/>
          </w:tcPr>
          <w:p w:rsidR="00080465" w:rsidRPr="001A26EA" w:rsidRDefault="00080465" w:rsidP="00080465">
            <w:r>
              <w:t>10</w:t>
            </w:r>
          </w:p>
        </w:tc>
        <w:tc>
          <w:tcPr>
            <w:tcW w:w="751" w:type="dxa"/>
          </w:tcPr>
          <w:p w:rsidR="00080465" w:rsidRPr="001A26EA" w:rsidRDefault="00080465" w:rsidP="00080465"/>
        </w:tc>
        <w:tc>
          <w:tcPr>
            <w:tcW w:w="886" w:type="dxa"/>
          </w:tcPr>
          <w:p w:rsidR="00080465" w:rsidRPr="001A26EA" w:rsidRDefault="00080465" w:rsidP="00080465">
            <w:r>
              <w:t>20</w:t>
            </w:r>
          </w:p>
        </w:tc>
        <w:tc>
          <w:tcPr>
            <w:tcW w:w="886" w:type="dxa"/>
          </w:tcPr>
          <w:p w:rsidR="00080465" w:rsidRPr="001A26EA" w:rsidRDefault="00080465" w:rsidP="00080465"/>
        </w:tc>
        <w:tc>
          <w:tcPr>
            <w:tcW w:w="886" w:type="dxa"/>
          </w:tcPr>
          <w:p w:rsidR="00080465" w:rsidRPr="001A26EA" w:rsidRDefault="00080465" w:rsidP="00080465">
            <w:r>
              <w:t>30</w:t>
            </w:r>
          </w:p>
        </w:tc>
        <w:tc>
          <w:tcPr>
            <w:tcW w:w="1710" w:type="dxa"/>
          </w:tcPr>
          <w:p w:rsidR="00080465" w:rsidRPr="001A26EA" w:rsidRDefault="00080465" w:rsidP="00080465">
            <w:r w:rsidRPr="00DD71F0">
              <w:t>UNFPA database compiled from treaty bodies</w:t>
            </w:r>
          </w:p>
        </w:tc>
      </w:tr>
      <w:tr w:rsidR="00080465" w:rsidRPr="001A26EA" w:rsidTr="00080465">
        <w:trPr>
          <w:trHeight w:val="467"/>
        </w:trPr>
        <w:tc>
          <w:tcPr>
            <w:tcW w:w="804" w:type="dxa"/>
            <w:vMerge w:val="restart"/>
            <w:shd w:val="clear" w:color="auto" w:fill="auto"/>
            <w:noWrap/>
            <w:hideMark/>
          </w:tcPr>
          <w:p w:rsidR="00080465" w:rsidRPr="001A26EA" w:rsidRDefault="00080465" w:rsidP="00080465"/>
        </w:tc>
        <w:tc>
          <w:tcPr>
            <w:tcW w:w="3303" w:type="dxa"/>
            <w:gridSpan w:val="3"/>
            <w:vMerge w:val="restart"/>
            <w:shd w:val="clear" w:color="auto" w:fill="D9D9D9"/>
            <w:hideMark/>
          </w:tcPr>
          <w:p w:rsidR="00080465" w:rsidRPr="001A26EA" w:rsidRDefault="00080465" w:rsidP="00080465">
            <w:r w:rsidRPr="00F43D71">
              <w:rPr>
                <w:b/>
              </w:rPr>
              <w:t>Outcome 1:</w:t>
            </w:r>
            <w:r w:rsidRPr="001A26EA">
              <w:t xml:space="preserve"> Increased availability and use of integrated sexual and reproductive health services (including family planning, maternal health and HIV) that are gender-responsive and meet human rights standards for quality of care and equity in access</w:t>
            </w:r>
          </w:p>
        </w:tc>
        <w:tc>
          <w:tcPr>
            <w:tcW w:w="3434" w:type="dxa"/>
            <w:gridSpan w:val="3"/>
            <w:hideMark/>
          </w:tcPr>
          <w:p w:rsidR="00080465" w:rsidRPr="001A26EA" w:rsidRDefault="00080465" w:rsidP="00080465">
            <w:r w:rsidRPr="001A26EA">
              <w:t xml:space="preserve">Outcome 1 indicator 1: </w:t>
            </w:r>
            <w:r>
              <w:t>Percentage of countries in which at least 95% of service delivery points have</w:t>
            </w:r>
            <w:r w:rsidRPr="001A26EA">
              <w:t xml:space="preserve"> seven life-saving maternal/reproductive health medicines from the WHO priority list</w:t>
            </w:r>
          </w:p>
        </w:tc>
        <w:tc>
          <w:tcPr>
            <w:tcW w:w="1020" w:type="dxa"/>
            <w:gridSpan w:val="2"/>
            <w:hideMark/>
          </w:tcPr>
          <w:p w:rsidR="00080465" w:rsidRPr="001A26EA" w:rsidRDefault="00080465" w:rsidP="00080465">
            <w:r>
              <w:t>32%</w:t>
            </w:r>
          </w:p>
        </w:tc>
        <w:tc>
          <w:tcPr>
            <w:tcW w:w="751" w:type="dxa"/>
            <w:hideMark/>
          </w:tcPr>
          <w:p w:rsidR="00080465" w:rsidRPr="001A26EA" w:rsidRDefault="00080465" w:rsidP="00080465">
            <w:r w:rsidRPr="001A26EA">
              <w:t> </w:t>
            </w:r>
          </w:p>
        </w:tc>
        <w:tc>
          <w:tcPr>
            <w:tcW w:w="886" w:type="dxa"/>
            <w:hideMark/>
          </w:tcPr>
          <w:p w:rsidR="00080465" w:rsidRPr="001A26EA" w:rsidRDefault="00080465" w:rsidP="00080465">
            <w:r w:rsidRPr="001A26EA">
              <w:t>40</w:t>
            </w:r>
            <w:r>
              <w:t>%</w:t>
            </w:r>
          </w:p>
        </w:tc>
        <w:tc>
          <w:tcPr>
            <w:tcW w:w="886" w:type="dxa"/>
            <w:hideMark/>
          </w:tcPr>
          <w:p w:rsidR="00080465" w:rsidRPr="001A26EA" w:rsidRDefault="00080465" w:rsidP="00080465">
            <w:r w:rsidRPr="001A26EA">
              <w:t> </w:t>
            </w:r>
          </w:p>
        </w:tc>
        <w:tc>
          <w:tcPr>
            <w:tcW w:w="886" w:type="dxa"/>
            <w:hideMark/>
          </w:tcPr>
          <w:p w:rsidR="00080465" w:rsidRPr="001A26EA" w:rsidRDefault="00080465" w:rsidP="00080465">
            <w:r w:rsidRPr="001A26EA">
              <w:t>50</w:t>
            </w:r>
            <w:r>
              <w:t>%</w:t>
            </w:r>
          </w:p>
        </w:tc>
        <w:tc>
          <w:tcPr>
            <w:tcW w:w="1710" w:type="dxa"/>
            <w:hideMark/>
          </w:tcPr>
          <w:p w:rsidR="00080465" w:rsidRDefault="00080465" w:rsidP="00080465">
            <w:r w:rsidRPr="001A26EA">
              <w:t xml:space="preserve">Country Office Annual Reports </w:t>
            </w:r>
          </w:p>
          <w:p w:rsidR="00080465" w:rsidRPr="001A26EA" w:rsidRDefault="00080465" w:rsidP="00080465">
            <w:r>
              <w:t>(COAR)</w:t>
            </w:r>
          </w:p>
        </w:tc>
      </w:tr>
      <w:tr w:rsidR="00080465" w:rsidRPr="001A26EA" w:rsidTr="00080465">
        <w:trPr>
          <w:trHeight w:val="386"/>
        </w:trPr>
        <w:tc>
          <w:tcPr>
            <w:tcW w:w="804" w:type="dxa"/>
            <w:vMerge/>
            <w:shd w:val="clear" w:color="auto" w:fill="auto"/>
            <w:noWrap/>
            <w:hideMark/>
          </w:tcPr>
          <w:p w:rsidR="00080465" w:rsidRPr="001A26EA" w:rsidRDefault="00080465" w:rsidP="00080465"/>
        </w:tc>
        <w:tc>
          <w:tcPr>
            <w:tcW w:w="3303" w:type="dxa"/>
            <w:gridSpan w:val="3"/>
            <w:vMerge/>
            <w:shd w:val="clear" w:color="auto" w:fill="D9D9D9"/>
            <w:hideMark/>
          </w:tcPr>
          <w:p w:rsidR="00080465" w:rsidRPr="001A26EA" w:rsidRDefault="00080465" w:rsidP="00080465"/>
        </w:tc>
        <w:tc>
          <w:tcPr>
            <w:tcW w:w="3434" w:type="dxa"/>
            <w:gridSpan w:val="3"/>
            <w:hideMark/>
          </w:tcPr>
          <w:p w:rsidR="00080465" w:rsidRPr="001A26EA" w:rsidRDefault="00080465" w:rsidP="00080465">
            <w:r w:rsidRPr="001A26EA">
              <w:t>Outcome 1 indicator 2: Contraceptive prevalence rate (total)</w:t>
            </w:r>
          </w:p>
        </w:tc>
        <w:tc>
          <w:tcPr>
            <w:tcW w:w="1020" w:type="dxa"/>
            <w:gridSpan w:val="2"/>
            <w:hideMark/>
          </w:tcPr>
          <w:p w:rsidR="00080465" w:rsidRPr="001A26EA" w:rsidRDefault="00080465" w:rsidP="00080465">
            <w:r w:rsidRPr="001A26EA">
              <w:t>63</w:t>
            </w:r>
          </w:p>
        </w:tc>
        <w:tc>
          <w:tcPr>
            <w:tcW w:w="751" w:type="dxa"/>
            <w:hideMark/>
          </w:tcPr>
          <w:p w:rsidR="00080465" w:rsidRPr="001A26EA" w:rsidRDefault="00080465" w:rsidP="00080465">
            <w:r w:rsidRPr="001A26EA">
              <w:t> </w:t>
            </w:r>
          </w:p>
        </w:tc>
        <w:tc>
          <w:tcPr>
            <w:tcW w:w="886" w:type="dxa"/>
            <w:hideMark/>
          </w:tcPr>
          <w:p w:rsidR="00080465" w:rsidRPr="001A26EA" w:rsidRDefault="00080465" w:rsidP="00080465">
            <w:r w:rsidRPr="001A26EA">
              <w:t>68</w:t>
            </w:r>
          </w:p>
        </w:tc>
        <w:tc>
          <w:tcPr>
            <w:tcW w:w="886" w:type="dxa"/>
            <w:hideMark/>
          </w:tcPr>
          <w:p w:rsidR="00080465" w:rsidRPr="001A26EA" w:rsidRDefault="00080465" w:rsidP="00080465">
            <w:r w:rsidRPr="001A26EA">
              <w:t> </w:t>
            </w:r>
          </w:p>
        </w:tc>
        <w:tc>
          <w:tcPr>
            <w:tcW w:w="886" w:type="dxa"/>
            <w:hideMark/>
          </w:tcPr>
          <w:p w:rsidR="00080465" w:rsidRPr="001A26EA" w:rsidRDefault="00080465" w:rsidP="00080465">
            <w:r w:rsidRPr="001A26EA">
              <w:t>70</w:t>
            </w:r>
          </w:p>
        </w:tc>
        <w:tc>
          <w:tcPr>
            <w:tcW w:w="1710" w:type="dxa"/>
            <w:hideMark/>
          </w:tcPr>
          <w:p w:rsidR="00080465" w:rsidRPr="00A75BF3" w:rsidRDefault="00080465" w:rsidP="00080465">
            <w:pPr>
              <w:rPr>
                <w:highlight w:val="yellow"/>
              </w:rPr>
            </w:pPr>
            <w:r>
              <w:t>UNFPA’s MDG5b+Info database</w:t>
            </w:r>
          </w:p>
        </w:tc>
      </w:tr>
      <w:tr w:rsidR="00080465" w:rsidRPr="001A26EA" w:rsidTr="00080465">
        <w:trPr>
          <w:trHeight w:val="125"/>
        </w:trPr>
        <w:tc>
          <w:tcPr>
            <w:tcW w:w="804" w:type="dxa"/>
            <w:vMerge/>
            <w:shd w:val="clear" w:color="auto" w:fill="auto"/>
            <w:noWrap/>
            <w:hideMark/>
          </w:tcPr>
          <w:p w:rsidR="00080465" w:rsidRPr="001A26EA" w:rsidRDefault="00080465" w:rsidP="00080465"/>
        </w:tc>
        <w:tc>
          <w:tcPr>
            <w:tcW w:w="3303" w:type="dxa"/>
            <w:gridSpan w:val="3"/>
            <w:vMerge/>
            <w:shd w:val="clear" w:color="auto" w:fill="D9D9D9"/>
            <w:hideMark/>
          </w:tcPr>
          <w:p w:rsidR="00080465" w:rsidRPr="001A26EA" w:rsidRDefault="00080465" w:rsidP="00080465"/>
        </w:tc>
        <w:tc>
          <w:tcPr>
            <w:tcW w:w="3434" w:type="dxa"/>
            <w:gridSpan w:val="3"/>
            <w:hideMark/>
          </w:tcPr>
          <w:p w:rsidR="00080465" w:rsidRPr="001A26EA" w:rsidRDefault="00080465" w:rsidP="00080465">
            <w:r w:rsidRPr="001A26EA">
              <w:t>Outcome 1 indicator 3: Proportion of demand for contraception satisfied (total)</w:t>
            </w:r>
          </w:p>
        </w:tc>
        <w:tc>
          <w:tcPr>
            <w:tcW w:w="1020" w:type="dxa"/>
            <w:gridSpan w:val="2"/>
            <w:hideMark/>
          </w:tcPr>
          <w:p w:rsidR="00080465" w:rsidRPr="001A26EA" w:rsidRDefault="00080465" w:rsidP="00080465">
            <w:r w:rsidRPr="001A26EA">
              <w:t>84</w:t>
            </w:r>
          </w:p>
        </w:tc>
        <w:tc>
          <w:tcPr>
            <w:tcW w:w="751" w:type="dxa"/>
            <w:hideMark/>
          </w:tcPr>
          <w:p w:rsidR="00080465" w:rsidRPr="001A26EA" w:rsidRDefault="00080465" w:rsidP="00080465">
            <w:r w:rsidRPr="001A26EA">
              <w:t> </w:t>
            </w:r>
          </w:p>
        </w:tc>
        <w:tc>
          <w:tcPr>
            <w:tcW w:w="886" w:type="dxa"/>
            <w:hideMark/>
          </w:tcPr>
          <w:p w:rsidR="00080465" w:rsidRPr="001A26EA" w:rsidRDefault="00080465" w:rsidP="00080465">
            <w:r w:rsidRPr="001A26EA">
              <w:t>88</w:t>
            </w:r>
          </w:p>
        </w:tc>
        <w:tc>
          <w:tcPr>
            <w:tcW w:w="886" w:type="dxa"/>
            <w:hideMark/>
          </w:tcPr>
          <w:p w:rsidR="00080465" w:rsidRPr="001A26EA" w:rsidRDefault="00080465" w:rsidP="00080465">
            <w:r w:rsidRPr="001A26EA">
              <w:t> </w:t>
            </w:r>
          </w:p>
        </w:tc>
        <w:tc>
          <w:tcPr>
            <w:tcW w:w="886" w:type="dxa"/>
            <w:hideMark/>
          </w:tcPr>
          <w:p w:rsidR="00080465" w:rsidRPr="001A26EA" w:rsidRDefault="00080465" w:rsidP="00080465">
            <w:r w:rsidRPr="001A26EA">
              <w:t>90</w:t>
            </w:r>
          </w:p>
        </w:tc>
        <w:tc>
          <w:tcPr>
            <w:tcW w:w="1710" w:type="dxa"/>
            <w:hideMark/>
          </w:tcPr>
          <w:p w:rsidR="00080465" w:rsidRPr="00A75BF3" w:rsidRDefault="00080465" w:rsidP="00080465">
            <w:pPr>
              <w:rPr>
                <w:highlight w:val="yellow"/>
              </w:rPr>
            </w:pPr>
            <w:r>
              <w:t>UNFPA’s MDG5b+Info database</w:t>
            </w:r>
          </w:p>
        </w:tc>
      </w:tr>
      <w:tr w:rsidR="00080465" w:rsidRPr="001A26EA" w:rsidTr="00080465">
        <w:trPr>
          <w:trHeight w:val="593"/>
        </w:trPr>
        <w:tc>
          <w:tcPr>
            <w:tcW w:w="804" w:type="dxa"/>
            <w:vMerge/>
            <w:shd w:val="clear" w:color="auto" w:fill="auto"/>
            <w:noWrap/>
            <w:hideMark/>
          </w:tcPr>
          <w:p w:rsidR="00080465" w:rsidRPr="001A26EA" w:rsidRDefault="00080465" w:rsidP="00080465"/>
        </w:tc>
        <w:tc>
          <w:tcPr>
            <w:tcW w:w="3303" w:type="dxa"/>
            <w:gridSpan w:val="3"/>
            <w:vMerge/>
            <w:shd w:val="clear" w:color="auto" w:fill="D9D9D9"/>
            <w:hideMark/>
          </w:tcPr>
          <w:p w:rsidR="00080465" w:rsidRPr="001A26EA" w:rsidRDefault="00080465" w:rsidP="00080465"/>
        </w:tc>
        <w:tc>
          <w:tcPr>
            <w:tcW w:w="3434" w:type="dxa"/>
            <w:gridSpan w:val="3"/>
            <w:hideMark/>
          </w:tcPr>
          <w:p w:rsidR="00080465" w:rsidRPr="001A26EA" w:rsidRDefault="00080465" w:rsidP="00080465">
            <w:r w:rsidRPr="001A26EA">
              <w:t xml:space="preserve">Outcome 1 indicator 4: </w:t>
            </w:r>
            <w:r>
              <w:t>Percentage of countries in which at least 60% of service delivery points</w:t>
            </w:r>
            <w:r w:rsidRPr="001A26EA">
              <w:t xml:space="preserve"> </w:t>
            </w:r>
            <w:r>
              <w:t xml:space="preserve">have </w:t>
            </w:r>
            <w:r w:rsidRPr="001A26EA">
              <w:t>no stock-out of contraceptives in the last six months</w:t>
            </w:r>
          </w:p>
        </w:tc>
        <w:tc>
          <w:tcPr>
            <w:tcW w:w="1020" w:type="dxa"/>
            <w:gridSpan w:val="2"/>
          </w:tcPr>
          <w:p w:rsidR="00080465" w:rsidRPr="00E82249" w:rsidRDefault="00080465" w:rsidP="00080465">
            <w:pPr>
              <w:rPr>
                <w:iCs/>
              </w:rPr>
            </w:pPr>
            <w:r>
              <w:rPr>
                <w:iCs/>
              </w:rPr>
              <w:t>73%</w:t>
            </w:r>
          </w:p>
        </w:tc>
        <w:tc>
          <w:tcPr>
            <w:tcW w:w="751" w:type="dxa"/>
          </w:tcPr>
          <w:p w:rsidR="00080465" w:rsidRPr="00E82249" w:rsidRDefault="00080465" w:rsidP="00080465"/>
        </w:tc>
        <w:tc>
          <w:tcPr>
            <w:tcW w:w="886" w:type="dxa"/>
          </w:tcPr>
          <w:p w:rsidR="00080465" w:rsidRPr="00E82249" w:rsidRDefault="00080465" w:rsidP="00080465">
            <w:pPr>
              <w:rPr>
                <w:iCs/>
              </w:rPr>
            </w:pPr>
            <w:r>
              <w:rPr>
                <w:iCs/>
              </w:rPr>
              <w:t>75%</w:t>
            </w:r>
          </w:p>
        </w:tc>
        <w:tc>
          <w:tcPr>
            <w:tcW w:w="886" w:type="dxa"/>
          </w:tcPr>
          <w:p w:rsidR="00080465" w:rsidRPr="00E82249" w:rsidRDefault="00080465" w:rsidP="00080465"/>
        </w:tc>
        <w:tc>
          <w:tcPr>
            <w:tcW w:w="886" w:type="dxa"/>
          </w:tcPr>
          <w:p w:rsidR="00080465" w:rsidRPr="00E82249" w:rsidRDefault="00080465" w:rsidP="00080465">
            <w:pPr>
              <w:rPr>
                <w:iCs/>
              </w:rPr>
            </w:pPr>
            <w:r>
              <w:rPr>
                <w:iCs/>
              </w:rPr>
              <w:t>80%</w:t>
            </w:r>
          </w:p>
        </w:tc>
        <w:tc>
          <w:tcPr>
            <w:tcW w:w="1710" w:type="dxa"/>
            <w:hideMark/>
          </w:tcPr>
          <w:p w:rsidR="00080465" w:rsidRPr="001A26EA" w:rsidRDefault="00080465" w:rsidP="00080465">
            <w:r>
              <w:t>Country Office Annual Reports</w:t>
            </w:r>
          </w:p>
        </w:tc>
      </w:tr>
      <w:tr w:rsidR="00080465" w:rsidRPr="001A26EA" w:rsidTr="00080465">
        <w:trPr>
          <w:trHeight w:val="900"/>
        </w:trPr>
        <w:tc>
          <w:tcPr>
            <w:tcW w:w="804" w:type="dxa"/>
            <w:vMerge/>
            <w:shd w:val="clear" w:color="auto" w:fill="auto"/>
            <w:noWrap/>
            <w:hideMark/>
          </w:tcPr>
          <w:p w:rsidR="00080465" w:rsidRPr="001A26EA" w:rsidRDefault="00080465" w:rsidP="00080465"/>
        </w:tc>
        <w:tc>
          <w:tcPr>
            <w:tcW w:w="3303" w:type="dxa"/>
            <w:gridSpan w:val="3"/>
            <w:vMerge/>
            <w:shd w:val="clear" w:color="auto" w:fill="D9D9D9"/>
            <w:hideMark/>
          </w:tcPr>
          <w:p w:rsidR="00080465" w:rsidRPr="001A26EA" w:rsidRDefault="00080465" w:rsidP="00080465"/>
        </w:tc>
        <w:tc>
          <w:tcPr>
            <w:tcW w:w="3434" w:type="dxa"/>
            <w:gridSpan w:val="3"/>
            <w:hideMark/>
          </w:tcPr>
          <w:p w:rsidR="00080465" w:rsidRPr="001A26EA" w:rsidRDefault="00080465" w:rsidP="00080465">
            <w:r w:rsidRPr="001A26EA">
              <w:t>Outcome 1 indicator 5: Percentage of countries in which at least 80% o</w:t>
            </w:r>
            <w:r>
              <w:t xml:space="preserve">f live births are attended by </w:t>
            </w:r>
            <w:r w:rsidRPr="001A26EA">
              <w:t xml:space="preserve">skilled </w:t>
            </w:r>
            <w:r>
              <w:t>health personnel</w:t>
            </w:r>
          </w:p>
        </w:tc>
        <w:tc>
          <w:tcPr>
            <w:tcW w:w="1020" w:type="dxa"/>
            <w:gridSpan w:val="2"/>
            <w:hideMark/>
          </w:tcPr>
          <w:p w:rsidR="00080465" w:rsidRPr="001A26EA" w:rsidRDefault="00080465" w:rsidP="00080465">
            <w:r w:rsidRPr="001A26EA">
              <w:t>53</w:t>
            </w:r>
          </w:p>
        </w:tc>
        <w:tc>
          <w:tcPr>
            <w:tcW w:w="751" w:type="dxa"/>
            <w:hideMark/>
          </w:tcPr>
          <w:p w:rsidR="00080465" w:rsidRPr="001A26EA" w:rsidRDefault="00080465" w:rsidP="00080465">
            <w:r w:rsidRPr="001A26EA">
              <w:t> </w:t>
            </w:r>
          </w:p>
        </w:tc>
        <w:tc>
          <w:tcPr>
            <w:tcW w:w="886" w:type="dxa"/>
            <w:hideMark/>
          </w:tcPr>
          <w:p w:rsidR="00080465" w:rsidRPr="001A26EA" w:rsidRDefault="00080465" w:rsidP="00080465">
            <w:r w:rsidRPr="001A26EA">
              <w:t>61</w:t>
            </w:r>
          </w:p>
        </w:tc>
        <w:tc>
          <w:tcPr>
            <w:tcW w:w="886" w:type="dxa"/>
            <w:hideMark/>
          </w:tcPr>
          <w:p w:rsidR="00080465" w:rsidRPr="001A26EA" w:rsidRDefault="00080465" w:rsidP="00080465">
            <w:r w:rsidRPr="001A26EA">
              <w:t> </w:t>
            </w:r>
          </w:p>
        </w:tc>
        <w:tc>
          <w:tcPr>
            <w:tcW w:w="886" w:type="dxa"/>
            <w:hideMark/>
          </w:tcPr>
          <w:p w:rsidR="00080465" w:rsidRPr="001A26EA" w:rsidRDefault="00080465" w:rsidP="00080465">
            <w:r w:rsidRPr="001A26EA">
              <w:t>65</w:t>
            </w:r>
          </w:p>
        </w:tc>
        <w:tc>
          <w:tcPr>
            <w:tcW w:w="1710" w:type="dxa"/>
            <w:hideMark/>
          </w:tcPr>
          <w:p w:rsidR="00080465" w:rsidRPr="001A26EA" w:rsidRDefault="00080465" w:rsidP="00080465">
            <w:r>
              <w:t>UNFPA’s MDG5b+Info database</w:t>
            </w:r>
          </w:p>
        </w:tc>
      </w:tr>
      <w:tr w:rsidR="00080465" w:rsidRPr="001A26EA" w:rsidTr="00080465">
        <w:trPr>
          <w:trHeight w:val="1200"/>
        </w:trPr>
        <w:tc>
          <w:tcPr>
            <w:tcW w:w="804" w:type="dxa"/>
            <w:vMerge/>
            <w:shd w:val="clear" w:color="auto" w:fill="auto"/>
            <w:noWrap/>
            <w:hideMark/>
          </w:tcPr>
          <w:p w:rsidR="00080465" w:rsidRPr="001A26EA" w:rsidRDefault="00080465" w:rsidP="00080465"/>
        </w:tc>
        <w:tc>
          <w:tcPr>
            <w:tcW w:w="3303" w:type="dxa"/>
            <w:gridSpan w:val="3"/>
            <w:vMerge/>
            <w:shd w:val="clear" w:color="auto" w:fill="D9D9D9"/>
            <w:hideMark/>
          </w:tcPr>
          <w:p w:rsidR="00080465" w:rsidRPr="001A26EA" w:rsidRDefault="00080465" w:rsidP="00080465"/>
        </w:tc>
        <w:tc>
          <w:tcPr>
            <w:tcW w:w="3434" w:type="dxa"/>
            <w:gridSpan w:val="3"/>
            <w:hideMark/>
          </w:tcPr>
          <w:p w:rsidR="00080465" w:rsidRPr="001A26EA" w:rsidRDefault="00080465" w:rsidP="00080465">
            <w:r w:rsidRPr="001A26EA">
              <w:t>Outcome 1 indicator 6:</w:t>
            </w:r>
            <w:r>
              <w:t xml:space="preserve"> </w:t>
            </w:r>
            <w:r w:rsidRPr="001A26EA">
              <w:t>Number of countries that have adapted and implemented protocols for family planning services that meet human rights standards including freedom from discrimination, coercion and violence</w:t>
            </w:r>
          </w:p>
        </w:tc>
        <w:tc>
          <w:tcPr>
            <w:tcW w:w="1020" w:type="dxa"/>
            <w:gridSpan w:val="2"/>
            <w:hideMark/>
          </w:tcPr>
          <w:p w:rsidR="00080465" w:rsidRPr="001A26EA" w:rsidRDefault="00080465" w:rsidP="00080465">
            <w:r w:rsidRPr="001A26EA">
              <w:t>0</w:t>
            </w:r>
          </w:p>
        </w:tc>
        <w:tc>
          <w:tcPr>
            <w:tcW w:w="751" w:type="dxa"/>
            <w:hideMark/>
          </w:tcPr>
          <w:p w:rsidR="00080465" w:rsidRPr="001A26EA" w:rsidRDefault="00080465" w:rsidP="00080465">
            <w:r w:rsidRPr="001A26EA">
              <w:t> </w:t>
            </w:r>
          </w:p>
        </w:tc>
        <w:tc>
          <w:tcPr>
            <w:tcW w:w="886" w:type="dxa"/>
            <w:hideMark/>
          </w:tcPr>
          <w:p w:rsidR="00080465" w:rsidRPr="001A26EA" w:rsidRDefault="00080465" w:rsidP="00080465">
            <w:r w:rsidRPr="001A26EA">
              <w:t>6</w:t>
            </w:r>
          </w:p>
        </w:tc>
        <w:tc>
          <w:tcPr>
            <w:tcW w:w="886" w:type="dxa"/>
            <w:hideMark/>
          </w:tcPr>
          <w:p w:rsidR="00080465" w:rsidRPr="001A26EA" w:rsidRDefault="00080465" w:rsidP="00080465">
            <w:r w:rsidRPr="001A26EA">
              <w:t> </w:t>
            </w:r>
          </w:p>
        </w:tc>
        <w:tc>
          <w:tcPr>
            <w:tcW w:w="886" w:type="dxa"/>
            <w:hideMark/>
          </w:tcPr>
          <w:p w:rsidR="00080465" w:rsidRPr="001A26EA" w:rsidRDefault="00080465" w:rsidP="00080465">
            <w:r w:rsidRPr="001A26EA">
              <w:t>23</w:t>
            </w:r>
          </w:p>
        </w:tc>
        <w:tc>
          <w:tcPr>
            <w:tcW w:w="1710" w:type="dxa"/>
            <w:hideMark/>
          </w:tcPr>
          <w:p w:rsidR="00080465" w:rsidRPr="001A26EA" w:rsidRDefault="00080465" w:rsidP="00080465">
            <w:r>
              <w:t>Country Office Annual Reports</w:t>
            </w:r>
          </w:p>
        </w:tc>
      </w:tr>
      <w:tr w:rsidR="00080465" w:rsidRPr="001A26EA" w:rsidTr="00080465">
        <w:trPr>
          <w:trHeight w:val="1200"/>
        </w:trPr>
        <w:tc>
          <w:tcPr>
            <w:tcW w:w="804" w:type="dxa"/>
            <w:vMerge/>
            <w:shd w:val="clear" w:color="auto" w:fill="auto"/>
            <w:noWrap/>
            <w:hideMark/>
          </w:tcPr>
          <w:p w:rsidR="00080465" w:rsidRPr="001A26EA" w:rsidRDefault="00080465" w:rsidP="00080465"/>
        </w:tc>
        <w:tc>
          <w:tcPr>
            <w:tcW w:w="3303" w:type="dxa"/>
            <w:gridSpan w:val="3"/>
            <w:vMerge/>
            <w:shd w:val="clear" w:color="auto" w:fill="D9D9D9"/>
            <w:hideMark/>
          </w:tcPr>
          <w:p w:rsidR="00080465" w:rsidRPr="001A26EA" w:rsidRDefault="00080465" w:rsidP="00080465"/>
        </w:tc>
        <w:tc>
          <w:tcPr>
            <w:tcW w:w="3434" w:type="dxa"/>
            <w:gridSpan w:val="3"/>
            <w:hideMark/>
          </w:tcPr>
          <w:p w:rsidR="00080465" w:rsidRPr="001A26EA" w:rsidRDefault="00080465" w:rsidP="00080465">
            <w:r w:rsidRPr="001A26EA">
              <w:t>Outcome 1 indicator 7: Percentage of women and men aged 15-49 who had more than one sexual partner in the past 12 months who reported use of a condom during their last intercourse (</w:t>
            </w:r>
            <w:r>
              <w:t>female</w:t>
            </w:r>
            <w:r w:rsidRPr="001A26EA">
              <w:t>/</w:t>
            </w:r>
            <w:r>
              <w:t>male</w:t>
            </w:r>
            <w:r w:rsidRPr="001A26EA">
              <w:t>)</w:t>
            </w:r>
          </w:p>
        </w:tc>
        <w:tc>
          <w:tcPr>
            <w:tcW w:w="1020" w:type="dxa"/>
            <w:gridSpan w:val="2"/>
            <w:hideMark/>
          </w:tcPr>
          <w:p w:rsidR="00080465" w:rsidRDefault="00080465" w:rsidP="00080465">
            <w:r w:rsidRPr="001A26EA">
              <w:t>19%/</w:t>
            </w:r>
          </w:p>
          <w:p w:rsidR="00080465" w:rsidRPr="001A26EA" w:rsidRDefault="00080465" w:rsidP="00080465">
            <w:r w:rsidRPr="001A26EA">
              <w:t>24%</w:t>
            </w:r>
          </w:p>
        </w:tc>
        <w:tc>
          <w:tcPr>
            <w:tcW w:w="751" w:type="dxa"/>
            <w:hideMark/>
          </w:tcPr>
          <w:p w:rsidR="00080465" w:rsidRPr="001A26EA" w:rsidRDefault="00080465" w:rsidP="00080465">
            <w:r w:rsidRPr="001A26EA">
              <w:t> </w:t>
            </w:r>
          </w:p>
        </w:tc>
        <w:tc>
          <w:tcPr>
            <w:tcW w:w="886" w:type="dxa"/>
            <w:hideMark/>
          </w:tcPr>
          <w:p w:rsidR="00080465" w:rsidRDefault="00080465" w:rsidP="00080465">
            <w:r w:rsidRPr="001A26EA">
              <w:t>22%/</w:t>
            </w:r>
          </w:p>
          <w:p w:rsidR="00080465" w:rsidRPr="001A26EA" w:rsidRDefault="00080465" w:rsidP="00080465">
            <w:r w:rsidRPr="001A26EA">
              <w:t>28%</w:t>
            </w:r>
          </w:p>
        </w:tc>
        <w:tc>
          <w:tcPr>
            <w:tcW w:w="886" w:type="dxa"/>
            <w:hideMark/>
          </w:tcPr>
          <w:p w:rsidR="00080465" w:rsidRPr="001A26EA" w:rsidRDefault="00080465" w:rsidP="00080465">
            <w:r w:rsidRPr="001A26EA">
              <w:t> </w:t>
            </w:r>
          </w:p>
        </w:tc>
        <w:tc>
          <w:tcPr>
            <w:tcW w:w="886" w:type="dxa"/>
            <w:hideMark/>
          </w:tcPr>
          <w:p w:rsidR="00080465" w:rsidRDefault="00080465" w:rsidP="00080465">
            <w:r w:rsidRPr="001A26EA">
              <w:t>24%/</w:t>
            </w:r>
          </w:p>
          <w:p w:rsidR="00080465" w:rsidRPr="001A26EA" w:rsidRDefault="00080465" w:rsidP="00080465">
            <w:r w:rsidRPr="001A26EA">
              <w:t>30%</w:t>
            </w:r>
          </w:p>
        </w:tc>
        <w:tc>
          <w:tcPr>
            <w:tcW w:w="1710" w:type="dxa"/>
            <w:hideMark/>
          </w:tcPr>
          <w:p w:rsidR="00080465" w:rsidRPr="001A26EA" w:rsidRDefault="00080465" w:rsidP="00080465">
            <w:r>
              <w:t>UNFPA’s MDG5b+Info database</w:t>
            </w:r>
          </w:p>
        </w:tc>
      </w:tr>
      <w:tr w:rsidR="00080465" w:rsidRPr="001A26EA" w:rsidTr="00080465">
        <w:trPr>
          <w:trHeight w:val="900"/>
        </w:trPr>
        <w:tc>
          <w:tcPr>
            <w:tcW w:w="804" w:type="dxa"/>
            <w:vMerge/>
            <w:shd w:val="clear" w:color="auto" w:fill="auto"/>
            <w:noWrap/>
            <w:hideMark/>
          </w:tcPr>
          <w:p w:rsidR="00080465" w:rsidRPr="001A26EA" w:rsidRDefault="00080465" w:rsidP="00080465"/>
        </w:tc>
        <w:tc>
          <w:tcPr>
            <w:tcW w:w="3303" w:type="dxa"/>
            <w:gridSpan w:val="3"/>
            <w:vMerge/>
            <w:shd w:val="clear" w:color="auto" w:fill="D9D9D9"/>
            <w:hideMark/>
          </w:tcPr>
          <w:p w:rsidR="00080465" w:rsidRPr="001A26EA" w:rsidRDefault="00080465" w:rsidP="00080465"/>
        </w:tc>
        <w:tc>
          <w:tcPr>
            <w:tcW w:w="3434" w:type="dxa"/>
            <w:gridSpan w:val="3"/>
            <w:hideMark/>
          </w:tcPr>
          <w:p w:rsidR="00080465" w:rsidRPr="001A26EA" w:rsidRDefault="00080465" w:rsidP="00080465">
            <w:r w:rsidRPr="001A26EA">
              <w:t>Outcome 1 indicator 8: Number of countries that have increased the national budget for sexual and reproductive health by at least 5 per cent</w:t>
            </w:r>
          </w:p>
        </w:tc>
        <w:tc>
          <w:tcPr>
            <w:tcW w:w="1020" w:type="dxa"/>
            <w:gridSpan w:val="2"/>
            <w:hideMark/>
          </w:tcPr>
          <w:p w:rsidR="00080465" w:rsidRPr="001A26EA" w:rsidRDefault="00080465" w:rsidP="00080465">
            <w:r w:rsidRPr="001A26EA">
              <w:t>0</w:t>
            </w:r>
          </w:p>
        </w:tc>
        <w:tc>
          <w:tcPr>
            <w:tcW w:w="751" w:type="dxa"/>
            <w:hideMark/>
          </w:tcPr>
          <w:p w:rsidR="00080465" w:rsidRPr="001A26EA" w:rsidRDefault="00080465" w:rsidP="00080465">
            <w:r w:rsidRPr="001A26EA">
              <w:t> </w:t>
            </w:r>
          </w:p>
        </w:tc>
        <w:tc>
          <w:tcPr>
            <w:tcW w:w="886" w:type="dxa"/>
            <w:hideMark/>
          </w:tcPr>
          <w:p w:rsidR="00080465" w:rsidRPr="001A26EA" w:rsidRDefault="00080465" w:rsidP="00080465">
            <w:r w:rsidRPr="001A26EA">
              <w:t>21</w:t>
            </w:r>
          </w:p>
        </w:tc>
        <w:tc>
          <w:tcPr>
            <w:tcW w:w="886" w:type="dxa"/>
            <w:hideMark/>
          </w:tcPr>
          <w:p w:rsidR="00080465" w:rsidRPr="001A26EA" w:rsidRDefault="00080465" w:rsidP="00080465">
            <w:r w:rsidRPr="001A26EA">
              <w:t> </w:t>
            </w:r>
          </w:p>
        </w:tc>
        <w:tc>
          <w:tcPr>
            <w:tcW w:w="886" w:type="dxa"/>
            <w:hideMark/>
          </w:tcPr>
          <w:p w:rsidR="00080465" w:rsidRPr="001A26EA" w:rsidRDefault="00080465" w:rsidP="00080465">
            <w:r w:rsidRPr="001A26EA">
              <w:t>42</w:t>
            </w:r>
          </w:p>
        </w:tc>
        <w:tc>
          <w:tcPr>
            <w:tcW w:w="1710" w:type="dxa"/>
            <w:hideMark/>
          </w:tcPr>
          <w:p w:rsidR="00080465" w:rsidRPr="001A26EA" w:rsidRDefault="00080465" w:rsidP="00080465">
            <w:r w:rsidRPr="001A26EA">
              <w:t>Country Office Annual Reports</w:t>
            </w:r>
          </w:p>
        </w:tc>
      </w:tr>
      <w:tr w:rsidR="00080465" w:rsidRPr="001A26EA" w:rsidTr="00080465">
        <w:trPr>
          <w:trHeight w:val="900"/>
        </w:trPr>
        <w:tc>
          <w:tcPr>
            <w:tcW w:w="804" w:type="dxa"/>
            <w:vMerge/>
            <w:shd w:val="clear" w:color="auto" w:fill="auto"/>
            <w:noWrap/>
            <w:hideMark/>
          </w:tcPr>
          <w:p w:rsidR="00080465" w:rsidRPr="001A26EA" w:rsidRDefault="00080465" w:rsidP="00080465"/>
        </w:tc>
        <w:tc>
          <w:tcPr>
            <w:tcW w:w="3303" w:type="dxa"/>
            <w:gridSpan w:val="3"/>
            <w:vMerge/>
            <w:shd w:val="clear" w:color="auto" w:fill="D9D9D9"/>
            <w:hideMark/>
          </w:tcPr>
          <w:p w:rsidR="00080465" w:rsidRPr="001A26EA" w:rsidRDefault="00080465" w:rsidP="00080465"/>
        </w:tc>
        <w:tc>
          <w:tcPr>
            <w:tcW w:w="3434" w:type="dxa"/>
            <w:gridSpan w:val="3"/>
            <w:hideMark/>
          </w:tcPr>
          <w:p w:rsidR="00080465" w:rsidRPr="001A26EA" w:rsidRDefault="00080465" w:rsidP="00080465">
            <w:r w:rsidRPr="001A26EA">
              <w:t xml:space="preserve">Outcome 1 indicator 9: Number of </w:t>
            </w:r>
            <w:r>
              <w:t xml:space="preserve">resolutions adopted by </w:t>
            </w:r>
            <w:r w:rsidRPr="001A26EA">
              <w:t>regional bodies that include specific commitments on sexual and reproductive health</w:t>
            </w:r>
          </w:p>
        </w:tc>
        <w:tc>
          <w:tcPr>
            <w:tcW w:w="1020" w:type="dxa"/>
            <w:gridSpan w:val="2"/>
          </w:tcPr>
          <w:p w:rsidR="00080465" w:rsidRPr="00387219" w:rsidRDefault="00080465" w:rsidP="00080465">
            <w:pPr>
              <w:rPr>
                <w:iCs/>
              </w:rPr>
            </w:pPr>
            <w:r>
              <w:rPr>
                <w:iCs/>
              </w:rPr>
              <w:t>Not applicable</w:t>
            </w:r>
          </w:p>
        </w:tc>
        <w:tc>
          <w:tcPr>
            <w:tcW w:w="751" w:type="dxa"/>
          </w:tcPr>
          <w:p w:rsidR="00080465" w:rsidRPr="00387219" w:rsidRDefault="00080465" w:rsidP="00080465"/>
        </w:tc>
        <w:tc>
          <w:tcPr>
            <w:tcW w:w="886" w:type="dxa"/>
          </w:tcPr>
          <w:p w:rsidR="00080465" w:rsidRPr="00387219" w:rsidRDefault="00080465" w:rsidP="00080465">
            <w:pPr>
              <w:rPr>
                <w:iCs/>
              </w:rPr>
            </w:pPr>
            <w:r>
              <w:rPr>
                <w:iCs/>
              </w:rPr>
              <w:t>24</w:t>
            </w:r>
          </w:p>
        </w:tc>
        <w:tc>
          <w:tcPr>
            <w:tcW w:w="886" w:type="dxa"/>
          </w:tcPr>
          <w:p w:rsidR="00080465" w:rsidRPr="00387219" w:rsidRDefault="00080465" w:rsidP="00080465"/>
        </w:tc>
        <w:tc>
          <w:tcPr>
            <w:tcW w:w="886" w:type="dxa"/>
          </w:tcPr>
          <w:p w:rsidR="00080465" w:rsidRPr="00387219" w:rsidRDefault="00080465" w:rsidP="00080465">
            <w:pPr>
              <w:rPr>
                <w:iCs/>
              </w:rPr>
            </w:pPr>
            <w:r>
              <w:rPr>
                <w:iCs/>
              </w:rPr>
              <w:t>48</w:t>
            </w:r>
          </w:p>
        </w:tc>
        <w:tc>
          <w:tcPr>
            <w:tcW w:w="1710" w:type="dxa"/>
            <w:hideMark/>
          </w:tcPr>
          <w:p w:rsidR="00080465" w:rsidRPr="001A26EA" w:rsidRDefault="00080465" w:rsidP="00080465">
            <w:r w:rsidRPr="001A26EA">
              <w:t>Regional Office Annual Reports</w:t>
            </w:r>
          </w:p>
        </w:tc>
      </w:tr>
      <w:tr w:rsidR="00080465" w:rsidRPr="001A26EA" w:rsidTr="00080465">
        <w:trPr>
          <w:trHeight w:val="1215"/>
        </w:trPr>
        <w:tc>
          <w:tcPr>
            <w:tcW w:w="804" w:type="dxa"/>
            <w:vMerge/>
            <w:shd w:val="clear" w:color="auto" w:fill="auto"/>
            <w:noWrap/>
            <w:hideMark/>
          </w:tcPr>
          <w:p w:rsidR="00080465" w:rsidRPr="001A26EA" w:rsidRDefault="00080465" w:rsidP="00080465"/>
        </w:tc>
        <w:tc>
          <w:tcPr>
            <w:tcW w:w="3303" w:type="dxa"/>
            <w:gridSpan w:val="3"/>
            <w:vMerge/>
            <w:shd w:val="clear" w:color="auto" w:fill="D9D9D9"/>
            <w:hideMark/>
          </w:tcPr>
          <w:p w:rsidR="00080465" w:rsidRPr="001A26EA" w:rsidRDefault="00080465" w:rsidP="00080465"/>
        </w:tc>
        <w:tc>
          <w:tcPr>
            <w:tcW w:w="3434" w:type="dxa"/>
            <w:gridSpan w:val="3"/>
            <w:hideMark/>
          </w:tcPr>
          <w:p w:rsidR="00080465" w:rsidRPr="001A26EA" w:rsidRDefault="00080465" w:rsidP="00080465">
            <w:r w:rsidRPr="001A26EA">
              <w:t>Outcome 1 indicator 10: Percentage of official development assistance that is dedicated to maternal health and family planning</w:t>
            </w:r>
          </w:p>
        </w:tc>
        <w:tc>
          <w:tcPr>
            <w:tcW w:w="1020" w:type="dxa"/>
            <w:gridSpan w:val="2"/>
            <w:hideMark/>
          </w:tcPr>
          <w:p w:rsidR="00080465" w:rsidRPr="001A26EA" w:rsidRDefault="00080465" w:rsidP="00080465">
            <w:r w:rsidRPr="001A26EA">
              <w:t>7.77% (2011)</w:t>
            </w:r>
          </w:p>
        </w:tc>
        <w:tc>
          <w:tcPr>
            <w:tcW w:w="751" w:type="dxa"/>
            <w:hideMark/>
          </w:tcPr>
          <w:p w:rsidR="00080465" w:rsidRPr="001A26EA" w:rsidRDefault="00080465" w:rsidP="00080465">
            <w:r w:rsidRPr="001A26EA">
              <w:t> </w:t>
            </w:r>
          </w:p>
        </w:tc>
        <w:tc>
          <w:tcPr>
            <w:tcW w:w="886" w:type="dxa"/>
            <w:hideMark/>
          </w:tcPr>
          <w:p w:rsidR="00080465" w:rsidRPr="001A26EA" w:rsidRDefault="00080465" w:rsidP="00080465">
            <w:r w:rsidRPr="001A26EA">
              <w:t>8.00%</w:t>
            </w:r>
          </w:p>
        </w:tc>
        <w:tc>
          <w:tcPr>
            <w:tcW w:w="886" w:type="dxa"/>
            <w:hideMark/>
          </w:tcPr>
          <w:p w:rsidR="00080465" w:rsidRPr="001A26EA" w:rsidRDefault="00080465" w:rsidP="00080465">
            <w:r w:rsidRPr="001A26EA">
              <w:t> </w:t>
            </w:r>
          </w:p>
        </w:tc>
        <w:tc>
          <w:tcPr>
            <w:tcW w:w="886" w:type="dxa"/>
            <w:hideMark/>
          </w:tcPr>
          <w:p w:rsidR="00080465" w:rsidRPr="001A26EA" w:rsidRDefault="00080465" w:rsidP="00080465">
            <w:r w:rsidRPr="001A26EA">
              <w:t>8.50%</w:t>
            </w:r>
          </w:p>
        </w:tc>
        <w:tc>
          <w:tcPr>
            <w:tcW w:w="1710" w:type="dxa"/>
            <w:hideMark/>
          </w:tcPr>
          <w:p w:rsidR="00080465" w:rsidRPr="001A26EA" w:rsidRDefault="00080465" w:rsidP="00080465">
            <w:r w:rsidRPr="001A26EA">
              <w:t>Secretary-General report on the flow of financial resources for the ICPD Programme of Action</w:t>
            </w:r>
          </w:p>
        </w:tc>
      </w:tr>
      <w:tr w:rsidR="00080465" w:rsidRPr="001A26EA" w:rsidTr="00080465">
        <w:trPr>
          <w:trHeight w:val="1159"/>
        </w:trPr>
        <w:tc>
          <w:tcPr>
            <w:tcW w:w="804" w:type="dxa"/>
            <w:vMerge/>
            <w:shd w:val="clear" w:color="auto" w:fill="auto"/>
            <w:noWrap/>
            <w:hideMark/>
          </w:tcPr>
          <w:p w:rsidR="00080465" w:rsidRPr="001A26EA" w:rsidRDefault="00080465" w:rsidP="00080465"/>
        </w:tc>
        <w:tc>
          <w:tcPr>
            <w:tcW w:w="840" w:type="dxa"/>
            <w:vMerge w:val="restart"/>
            <w:shd w:val="clear" w:color="auto" w:fill="auto"/>
          </w:tcPr>
          <w:p w:rsidR="00080465" w:rsidRPr="001A26EA" w:rsidRDefault="00080465" w:rsidP="00080465"/>
        </w:tc>
        <w:tc>
          <w:tcPr>
            <w:tcW w:w="2463" w:type="dxa"/>
            <w:gridSpan w:val="2"/>
            <w:vMerge w:val="restart"/>
            <w:shd w:val="clear" w:color="auto" w:fill="F2F2F2"/>
            <w:hideMark/>
          </w:tcPr>
          <w:p w:rsidR="00080465" w:rsidRPr="001A26EA" w:rsidRDefault="00080465" w:rsidP="00080465">
            <w:r w:rsidRPr="00F43D71">
              <w:rPr>
                <w:b/>
              </w:rPr>
              <w:t>Output 1:</w:t>
            </w:r>
            <w:r w:rsidRPr="001A26EA">
              <w:t xml:space="preserve"> Increased national capacity to deliver integrated sexual and reproductive health services</w:t>
            </w:r>
          </w:p>
        </w:tc>
        <w:tc>
          <w:tcPr>
            <w:tcW w:w="3434" w:type="dxa"/>
            <w:gridSpan w:val="3"/>
            <w:hideMark/>
          </w:tcPr>
          <w:p w:rsidR="00080465" w:rsidRPr="001A26EA" w:rsidRDefault="00080465" w:rsidP="00080465">
            <w:r w:rsidRPr="001A26EA">
              <w:t xml:space="preserve">1.1: Number of countries that have guidelines, protocols and standards for health care workers for the delivery of quality sexual and reproductive health services for adolescents and youth </w:t>
            </w:r>
          </w:p>
        </w:tc>
        <w:tc>
          <w:tcPr>
            <w:tcW w:w="1020" w:type="dxa"/>
            <w:gridSpan w:val="2"/>
            <w:hideMark/>
          </w:tcPr>
          <w:p w:rsidR="00080465" w:rsidRPr="001A26EA" w:rsidRDefault="00080465" w:rsidP="00080465">
            <w:r w:rsidRPr="001A26EA">
              <w:t>73</w:t>
            </w:r>
          </w:p>
        </w:tc>
        <w:tc>
          <w:tcPr>
            <w:tcW w:w="751" w:type="dxa"/>
            <w:hideMark/>
          </w:tcPr>
          <w:p w:rsidR="00080465" w:rsidRPr="001A26EA" w:rsidRDefault="00080465" w:rsidP="00080465">
            <w:r w:rsidRPr="001A26EA">
              <w:t>89</w:t>
            </w:r>
          </w:p>
        </w:tc>
        <w:tc>
          <w:tcPr>
            <w:tcW w:w="886" w:type="dxa"/>
            <w:hideMark/>
          </w:tcPr>
          <w:p w:rsidR="00080465" w:rsidRPr="001A26EA" w:rsidRDefault="00080465" w:rsidP="00080465">
            <w:r w:rsidRPr="001A26EA">
              <w:t>105</w:t>
            </w:r>
          </w:p>
        </w:tc>
        <w:tc>
          <w:tcPr>
            <w:tcW w:w="886" w:type="dxa"/>
            <w:hideMark/>
          </w:tcPr>
          <w:p w:rsidR="00080465" w:rsidRPr="001A26EA" w:rsidRDefault="00080465" w:rsidP="00080465">
            <w:r w:rsidRPr="001A26EA">
              <w:t>118</w:t>
            </w:r>
          </w:p>
        </w:tc>
        <w:tc>
          <w:tcPr>
            <w:tcW w:w="886" w:type="dxa"/>
            <w:hideMark/>
          </w:tcPr>
          <w:p w:rsidR="00080465" w:rsidRPr="001A26EA" w:rsidRDefault="00080465" w:rsidP="00080465">
            <w:r w:rsidRPr="001A26EA">
              <w:t>123</w:t>
            </w:r>
          </w:p>
        </w:tc>
        <w:tc>
          <w:tcPr>
            <w:tcW w:w="1710" w:type="dxa"/>
            <w:hideMark/>
          </w:tcPr>
          <w:p w:rsidR="00080465" w:rsidRPr="001A26EA" w:rsidRDefault="00080465" w:rsidP="00080465">
            <w:r>
              <w:t>Country Office Annual Reports</w:t>
            </w:r>
          </w:p>
        </w:tc>
      </w:tr>
      <w:tr w:rsidR="00080465" w:rsidRPr="001A26EA" w:rsidTr="00080465">
        <w:trPr>
          <w:trHeight w:val="615"/>
        </w:trPr>
        <w:tc>
          <w:tcPr>
            <w:tcW w:w="804" w:type="dxa"/>
            <w:vMerge/>
            <w:shd w:val="clear" w:color="auto" w:fill="auto"/>
            <w:noWrap/>
            <w:hideMark/>
          </w:tcPr>
          <w:p w:rsidR="00080465" w:rsidRPr="001A26EA" w:rsidRDefault="00080465" w:rsidP="00080465"/>
        </w:tc>
        <w:tc>
          <w:tcPr>
            <w:tcW w:w="840" w:type="dxa"/>
            <w:vMerge/>
            <w:shd w:val="clear" w:color="auto" w:fill="auto"/>
          </w:tcPr>
          <w:p w:rsidR="00080465" w:rsidRPr="001A26EA" w:rsidRDefault="00080465" w:rsidP="00080465"/>
        </w:tc>
        <w:tc>
          <w:tcPr>
            <w:tcW w:w="2463" w:type="dxa"/>
            <w:gridSpan w:val="2"/>
            <w:vMerge/>
            <w:shd w:val="clear" w:color="auto" w:fill="F2F2F2"/>
            <w:hideMark/>
          </w:tcPr>
          <w:p w:rsidR="00080465" w:rsidRPr="001A26EA" w:rsidRDefault="00080465" w:rsidP="00080465"/>
        </w:tc>
        <w:tc>
          <w:tcPr>
            <w:tcW w:w="3434" w:type="dxa"/>
            <w:gridSpan w:val="3"/>
            <w:hideMark/>
          </w:tcPr>
          <w:p w:rsidR="00080465" w:rsidRPr="001A26EA" w:rsidRDefault="00080465" w:rsidP="00080465">
            <w:r w:rsidRPr="001A26EA">
              <w:t>1.2: Number of countries that have a costed integrated national sexual and reproductive health action plan</w:t>
            </w:r>
          </w:p>
        </w:tc>
        <w:tc>
          <w:tcPr>
            <w:tcW w:w="1020" w:type="dxa"/>
            <w:gridSpan w:val="2"/>
            <w:hideMark/>
          </w:tcPr>
          <w:p w:rsidR="00080465" w:rsidRPr="001A26EA" w:rsidRDefault="00080465" w:rsidP="00080465">
            <w:r w:rsidRPr="001A26EA">
              <w:t>59</w:t>
            </w:r>
          </w:p>
        </w:tc>
        <w:tc>
          <w:tcPr>
            <w:tcW w:w="751" w:type="dxa"/>
            <w:hideMark/>
          </w:tcPr>
          <w:p w:rsidR="00080465" w:rsidRPr="001A26EA" w:rsidRDefault="00080465" w:rsidP="00080465">
            <w:r w:rsidRPr="001A26EA">
              <w:t>80</w:t>
            </w:r>
          </w:p>
        </w:tc>
        <w:tc>
          <w:tcPr>
            <w:tcW w:w="886" w:type="dxa"/>
            <w:hideMark/>
          </w:tcPr>
          <w:p w:rsidR="00080465" w:rsidRPr="001A26EA" w:rsidRDefault="00080465" w:rsidP="00080465">
            <w:r w:rsidRPr="001A26EA">
              <w:t>95</w:t>
            </w:r>
          </w:p>
        </w:tc>
        <w:tc>
          <w:tcPr>
            <w:tcW w:w="886" w:type="dxa"/>
            <w:hideMark/>
          </w:tcPr>
          <w:p w:rsidR="00080465" w:rsidRPr="001A26EA" w:rsidRDefault="00080465" w:rsidP="00080465">
            <w:r w:rsidRPr="001A26EA">
              <w:t>101</w:t>
            </w:r>
          </w:p>
        </w:tc>
        <w:tc>
          <w:tcPr>
            <w:tcW w:w="886" w:type="dxa"/>
            <w:hideMark/>
          </w:tcPr>
          <w:p w:rsidR="00080465" w:rsidRPr="001A26EA" w:rsidRDefault="00080465" w:rsidP="00080465">
            <w:r w:rsidRPr="001A26EA">
              <w:t>110</w:t>
            </w:r>
          </w:p>
        </w:tc>
        <w:tc>
          <w:tcPr>
            <w:tcW w:w="1710" w:type="dxa"/>
            <w:hideMark/>
          </w:tcPr>
          <w:p w:rsidR="00080465" w:rsidRPr="001A26EA" w:rsidRDefault="00080465" w:rsidP="00080465">
            <w:r w:rsidRPr="001A26EA">
              <w:t>Country Office Annual Reports</w:t>
            </w:r>
          </w:p>
        </w:tc>
      </w:tr>
      <w:tr w:rsidR="00080465" w:rsidRPr="001A26EA" w:rsidTr="00080465">
        <w:trPr>
          <w:trHeight w:val="900"/>
        </w:trPr>
        <w:tc>
          <w:tcPr>
            <w:tcW w:w="804" w:type="dxa"/>
            <w:vMerge/>
            <w:shd w:val="clear" w:color="auto" w:fill="auto"/>
            <w:noWrap/>
            <w:hideMark/>
          </w:tcPr>
          <w:p w:rsidR="00080465" w:rsidRPr="001A26EA" w:rsidRDefault="00080465" w:rsidP="00080465"/>
        </w:tc>
        <w:tc>
          <w:tcPr>
            <w:tcW w:w="840" w:type="dxa"/>
            <w:vMerge/>
            <w:shd w:val="clear" w:color="auto" w:fill="auto"/>
          </w:tcPr>
          <w:p w:rsidR="00080465" w:rsidRPr="001A26EA" w:rsidRDefault="00080465" w:rsidP="00080465"/>
        </w:tc>
        <w:tc>
          <w:tcPr>
            <w:tcW w:w="2463" w:type="dxa"/>
            <w:gridSpan w:val="2"/>
            <w:vMerge w:val="restart"/>
            <w:shd w:val="clear" w:color="auto" w:fill="F2F2F2"/>
            <w:hideMark/>
          </w:tcPr>
          <w:p w:rsidR="00080465" w:rsidRPr="001A26EA" w:rsidRDefault="00080465" w:rsidP="00080465">
            <w:r w:rsidRPr="00F43D71">
              <w:rPr>
                <w:b/>
              </w:rPr>
              <w:t>Output 2:</w:t>
            </w:r>
            <w:r w:rsidRPr="001A26EA">
              <w:t xml:space="preserve"> Increased national capacity to strengthen enabling environments, increase demand for and supply of modern contraceptives and improve  quality family planning services that are fr</w:t>
            </w:r>
            <w:r>
              <w:t>ee of coercion, discrimination</w:t>
            </w:r>
            <w:r w:rsidRPr="001A26EA">
              <w:t xml:space="preserve"> and violence</w:t>
            </w:r>
          </w:p>
        </w:tc>
        <w:tc>
          <w:tcPr>
            <w:tcW w:w="3434" w:type="dxa"/>
            <w:gridSpan w:val="3"/>
            <w:hideMark/>
          </w:tcPr>
          <w:p w:rsidR="00080465" w:rsidRPr="001A26EA" w:rsidRDefault="00080465" w:rsidP="00080465">
            <w:r w:rsidRPr="001A26EA">
              <w:t>2.1: Number of countries using a functional logistics management information systems for forecasting and monitoring reproductive health commodities</w:t>
            </w:r>
          </w:p>
        </w:tc>
        <w:tc>
          <w:tcPr>
            <w:tcW w:w="1020" w:type="dxa"/>
            <w:gridSpan w:val="2"/>
            <w:hideMark/>
          </w:tcPr>
          <w:p w:rsidR="00080465" w:rsidRPr="001A26EA" w:rsidRDefault="00080465" w:rsidP="00080465">
            <w:r w:rsidRPr="001A26EA">
              <w:t>75</w:t>
            </w:r>
          </w:p>
        </w:tc>
        <w:tc>
          <w:tcPr>
            <w:tcW w:w="751" w:type="dxa"/>
            <w:hideMark/>
          </w:tcPr>
          <w:p w:rsidR="00080465" w:rsidRPr="001A26EA" w:rsidRDefault="00080465" w:rsidP="00080465">
            <w:r w:rsidRPr="001A26EA">
              <w:t>90</w:t>
            </w:r>
          </w:p>
        </w:tc>
        <w:tc>
          <w:tcPr>
            <w:tcW w:w="886" w:type="dxa"/>
            <w:hideMark/>
          </w:tcPr>
          <w:p w:rsidR="00080465" w:rsidRPr="001A26EA" w:rsidRDefault="00080465" w:rsidP="00080465">
            <w:r w:rsidRPr="001A26EA">
              <w:t>98</w:t>
            </w:r>
          </w:p>
        </w:tc>
        <w:tc>
          <w:tcPr>
            <w:tcW w:w="886" w:type="dxa"/>
            <w:hideMark/>
          </w:tcPr>
          <w:p w:rsidR="00080465" w:rsidRPr="001A26EA" w:rsidRDefault="00080465" w:rsidP="00080465">
            <w:r w:rsidRPr="001A26EA">
              <w:t>105</w:t>
            </w:r>
          </w:p>
        </w:tc>
        <w:tc>
          <w:tcPr>
            <w:tcW w:w="886" w:type="dxa"/>
            <w:hideMark/>
          </w:tcPr>
          <w:p w:rsidR="00080465" w:rsidRPr="001A26EA" w:rsidRDefault="00080465" w:rsidP="00080465">
            <w:r w:rsidRPr="001A26EA">
              <w:t>111</w:t>
            </w:r>
          </w:p>
        </w:tc>
        <w:tc>
          <w:tcPr>
            <w:tcW w:w="1710" w:type="dxa"/>
            <w:hideMark/>
          </w:tcPr>
          <w:p w:rsidR="00080465" w:rsidRPr="001A26EA" w:rsidRDefault="00080465" w:rsidP="00080465">
            <w:r w:rsidRPr="001A26EA">
              <w:t>Country Office Annual Reports</w:t>
            </w:r>
          </w:p>
        </w:tc>
      </w:tr>
      <w:tr w:rsidR="00080465" w:rsidRPr="001A26EA" w:rsidTr="00080465">
        <w:trPr>
          <w:trHeight w:val="900"/>
        </w:trPr>
        <w:tc>
          <w:tcPr>
            <w:tcW w:w="804" w:type="dxa"/>
            <w:vMerge/>
            <w:shd w:val="clear" w:color="auto" w:fill="auto"/>
            <w:noWrap/>
            <w:hideMark/>
          </w:tcPr>
          <w:p w:rsidR="00080465" w:rsidRPr="001A26EA" w:rsidRDefault="00080465" w:rsidP="00080465"/>
        </w:tc>
        <w:tc>
          <w:tcPr>
            <w:tcW w:w="840" w:type="dxa"/>
            <w:vMerge/>
            <w:shd w:val="clear" w:color="auto" w:fill="auto"/>
          </w:tcPr>
          <w:p w:rsidR="00080465" w:rsidRPr="001A26EA" w:rsidRDefault="00080465" w:rsidP="00080465"/>
        </w:tc>
        <w:tc>
          <w:tcPr>
            <w:tcW w:w="2463" w:type="dxa"/>
            <w:gridSpan w:val="2"/>
            <w:vMerge/>
            <w:shd w:val="clear" w:color="auto" w:fill="F2F2F2"/>
            <w:hideMark/>
          </w:tcPr>
          <w:p w:rsidR="00080465" w:rsidRPr="001A26EA" w:rsidRDefault="00080465" w:rsidP="00080465"/>
        </w:tc>
        <w:tc>
          <w:tcPr>
            <w:tcW w:w="3434" w:type="dxa"/>
            <w:gridSpan w:val="3"/>
            <w:hideMark/>
          </w:tcPr>
          <w:p w:rsidR="00080465" w:rsidRPr="001A26EA" w:rsidRDefault="00080465" w:rsidP="00080465">
            <w:r w:rsidRPr="001A26EA">
              <w:t xml:space="preserve">2.2: Number of countries that have trained all levels of personnel to implement the new family planning human rights protocol </w:t>
            </w:r>
          </w:p>
        </w:tc>
        <w:tc>
          <w:tcPr>
            <w:tcW w:w="1020" w:type="dxa"/>
            <w:gridSpan w:val="2"/>
            <w:hideMark/>
          </w:tcPr>
          <w:p w:rsidR="00080465" w:rsidRPr="001A26EA" w:rsidRDefault="00080465" w:rsidP="00080465">
            <w:r w:rsidRPr="001A26EA">
              <w:t>0</w:t>
            </w:r>
          </w:p>
        </w:tc>
        <w:tc>
          <w:tcPr>
            <w:tcW w:w="751" w:type="dxa"/>
            <w:hideMark/>
          </w:tcPr>
          <w:p w:rsidR="00080465" w:rsidRPr="001A26EA" w:rsidRDefault="00080465" w:rsidP="00080465">
            <w:r w:rsidRPr="001A26EA">
              <w:t>0</w:t>
            </w:r>
          </w:p>
        </w:tc>
        <w:tc>
          <w:tcPr>
            <w:tcW w:w="886" w:type="dxa"/>
            <w:hideMark/>
          </w:tcPr>
          <w:p w:rsidR="00080465" w:rsidRPr="001A26EA" w:rsidRDefault="00080465" w:rsidP="00080465">
            <w:r w:rsidRPr="001A26EA">
              <w:t>0</w:t>
            </w:r>
          </w:p>
        </w:tc>
        <w:tc>
          <w:tcPr>
            <w:tcW w:w="886" w:type="dxa"/>
            <w:hideMark/>
          </w:tcPr>
          <w:p w:rsidR="00080465" w:rsidRPr="001A26EA" w:rsidRDefault="00080465" w:rsidP="00080465">
            <w:r w:rsidRPr="001A26EA">
              <w:t>6</w:t>
            </w:r>
          </w:p>
        </w:tc>
        <w:tc>
          <w:tcPr>
            <w:tcW w:w="886" w:type="dxa"/>
            <w:hideMark/>
          </w:tcPr>
          <w:p w:rsidR="00080465" w:rsidRPr="001A26EA" w:rsidRDefault="00080465" w:rsidP="00080465">
            <w:r w:rsidRPr="001A26EA">
              <w:t>13</w:t>
            </w:r>
          </w:p>
        </w:tc>
        <w:tc>
          <w:tcPr>
            <w:tcW w:w="1710" w:type="dxa"/>
            <w:hideMark/>
          </w:tcPr>
          <w:p w:rsidR="00080465" w:rsidRPr="001A26EA" w:rsidRDefault="00080465" w:rsidP="00080465">
            <w:r>
              <w:t>Country Office Annual Reports</w:t>
            </w:r>
          </w:p>
        </w:tc>
      </w:tr>
      <w:tr w:rsidR="00080465" w:rsidRPr="001A26EA" w:rsidTr="00080465">
        <w:trPr>
          <w:trHeight w:val="915"/>
        </w:trPr>
        <w:tc>
          <w:tcPr>
            <w:tcW w:w="804" w:type="dxa"/>
            <w:vMerge/>
            <w:shd w:val="clear" w:color="auto" w:fill="auto"/>
            <w:noWrap/>
            <w:hideMark/>
          </w:tcPr>
          <w:p w:rsidR="00080465" w:rsidRPr="001A26EA" w:rsidRDefault="00080465" w:rsidP="00080465"/>
        </w:tc>
        <w:tc>
          <w:tcPr>
            <w:tcW w:w="840" w:type="dxa"/>
            <w:vMerge/>
            <w:shd w:val="clear" w:color="auto" w:fill="auto"/>
          </w:tcPr>
          <w:p w:rsidR="00080465" w:rsidRPr="001A26EA" w:rsidRDefault="00080465" w:rsidP="00080465"/>
        </w:tc>
        <w:tc>
          <w:tcPr>
            <w:tcW w:w="2463" w:type="dxa"/>
            <w:gridSpan w:val="2"/>
            <w:vMerge/>
            <w:shd w:val="clear" w:color="auto" w:fill="F2F2F2"/>
            <w:hideMark/>
          </w:tcPr>
          <w:p w:rsidR="00080465" w:rsidRPr="001A26EA" w:rsidRDefault="00080465" w:rsidP="00080465"/>
        </w:tc>
        <w:tc>
          <w:tcPr>
            <w:tcW w:w="3434" w:type="dxa"/>
            <w:gridSpan w:val="3"/>
            <w:hideMark/>
          </w:tcPr>
          <w:p w:rsidR="00080465" w:rsidRPr="001A26EA" w:rsidRDefault="00080465" w:rsidP="00080465">
            <w:r w:rsidRPr="001A26EA">
              <w:t>2.3: Number of countries in which UNFPA supports at least four elements of demand generation for family planning</w:t>
            </w:r>
          </w:p>
        </w:tc>
        <w:tc>
          <w:tcPr>
            <w:tcW w:w="1020" w:type="dxa"/>
            <w:gridSpan w:val="2"/>
            <w:hideMark/>
          </w:tcPr>
          <w:p w:rsidR="00080465" w:rsidRPr="001A26EA" w:rsidRDefault="00080465" w:rsidP="00080465">
            <w:r w:rsidRPr="001A26EA">
              <w:t>18</w:t>
            </w:r>
          </w:p>
        </w:tc>
        <w:tc>
          <w:tcPr>
            <w:tcW w:w="751" w:type="dxa"/>
            <w:hideMark/>
          </w:tcPr>
          <w:p w:rsidR="00080465" w:rsidRPr="001A26EA" w:rsidRDefault="00080465" w:rsidP="00080465">
            <w:r w:rsidRPr="001A26EA">
              <w:t>25</w:t>
            </w:r>
          </w:p>
        </w:tc>
        <w:tc>
          <w:tcPr>
            <w:tcW w:w="886" w:type="dxa"/>
            <w:hideMark/>
          </w:tcPr>
          <w:p w:rsidR="00080465" w:rsidRPr="001A26EA" w:rsidRDefault="00080465" w:rsidP="00080465">
            <w:r w:rsidRPr="001A26EA">
              <w:t>32</w:t>
            </w:r>
          </w:p>
        </w:tc>
        <w:tc>
          <w:tcPr>
            <w:tcW w:w="886" w:type="dxa"/>
            <w:hideMark/>
          </w:tcPr>
          <w:p w:rsidR="00080465" w:rsidRPr="001A26EA" w:rsidRDefault="00080465" w:rsidP="00080465">
            <w:r w:rsidRPr="001A26EA">
              <w:t>36</w:t>
            </w:r>
          </w:p>
        </w:tc>
        <w:tc>
          <w:tcPr>
            <w:tcW w:w="886" w:type="dxa"/>
            <w:hideMark/>
          </w:tcPr>
          <w:p w:rsidR="00080465" w:rsidRPr="001A26EA" w:rsidRDefault="00080465" w:rsidP="00080465">
            <w:r w:rsidRPr="001A26EA">
              <w:t>41</w:t>
            </w:r>
          </w:p>
        </w:tc>
        <w:tc>
          <w:tcPr>
            <w:tcW w:w="1710" w:type="dxa"/>
            <w:hideMark/>
          </w:tcPr>
          <w:p w:rsidR="00080465" w:rsidRPr="001A26EA" w:rsidRDefault="00080465" w:rsidP="00080465">
            <w:r w:rsidRPr="001A26EA">
              <w:t>Country Office Annual Reports</w:t>
            </w:r>
          </w:p>
        </w:tc>
      </w:tr>
      <w:tr w:rsidR="00080465" w:rsidRPr="001A26EA" w:rsidTr="00080465">
        <w:trPr>
          <w:trHeight w:val="881"/>
        </w:trPr>
        <w:tc>
          <w:tcPr>
            <w:tcW w:w="804" w:type="dxa"/>
            <w:vMerge/>
            <w:tcBorders>
              <w:bottom w:val="nil"/>
            </w:tcBorders>
            <w:shd w:val="clear" w:color="auto" w:fill="auto"/>
            <w:noWrap/>
            <w:hideMark/>
          </w:tcPr>
          <w:p w:rsidR="00080465" w:rsidRPr="001A26EA" w:rsidRDefault="00080465" w:rsidP="00080465"/>
        </w:tc>
        <w:tc>
          <w:tcPr>
            <w:tcW w:w="840" w:type="dxa"/>
            <w:vMerge/>
            <w:shd w:val="clear" w:color="auto" w:fill="auto"/>
          </w:tcPr>
          <w:p w:rsidR="00080465" w:rsidRPr="001A26EA" w:rsidRDefault="00080465" w:rsidP="00080465"/>
        </w:tc>
        <w:tc>
          <w:tcPr>
            <w:tcW w:w="2463" w:type="dxa"/>
            <w:gridSpan w:val="2"/>
            <w:vMerge w:val="restart"/>
            <w:shd w:val="clear" w:color="auto" w:fill="F2F2F2"/>
            <w:hideMark/>
          </w:tcPr>
          <w:p w:rsidR="00080465" w:rsidRPr="001A26EA" w:rsidRDefault="00080465" w:rsidP="00080465">
            <w:r w:rsidRPr="00F43D71">
              <w:rPr>
                <w:b/>
              </w:rPr>
              <w:t>Output 3:</w:t>
            </w:r>
            <w:r w:rsidRPr="001A26EA">
              <w:t xml:space="preserve"> Increased national capacity to deliver comprehensive maternal health services</w:t>
            </w:r>
          </w:p>
        </w:tc>
        <w:tc>
          <w:tcPr>
            <w:tcW w:w="3434" w:type="dxa"/>
            <w:gridSpan w:val="3"/>
            <w:hideMark/>
          </w:tcPr>
          <w:p w:rsidR="00080465" w:rsidRPr="001A26EA" w:rsidRDefault="00080465" w:rsidP="00080465">
            <w:r w:rsidRPr="001A26EA">
              <w:t xml:space="preserve">3.1: Number of countries in which the development of  midwifery workforce policies was based on the ICM-WHO standards  </w:t>
            </w:r>
          </w:p>
        </w:tc>
        <w:tc>
          <w:tcPr>
            <w:tcW w:w="1020" w:type="dxa"/>
            <w:gridSpan w:val="2"/>
            <w:hideMark/>
          </w:tcPr>
          <w:p w:rsidR="00080465" w:rsidRPr="001A26EA" w:rsidRDefault="00080465" w:rsidP="00080465">
            <w:r w:rsidRPr="001A26EA">
              <w:t>52</w:t>
            </w:r>
          </w:p>
        </w:tc>
        <w:tc>
          <w:tcPr>
            <w:tcW w:w="751" w:type="dxa"/>
            <w:hideMark/>
          </w:tcPr>
          <w:p w:rsidR="00080465" w:rsidRPr="001A26EA" w:rsidRDefault="00080465" w:rsidP="00080465">
            <w:r w:rsidRPr="001A26EA">
              <w:t>63</w:t>
            </w:r>
          </w:p>
        </w:tc>
        <w:tc>
          <w:tcPr>
            <w:tcW w:w="886" w:type="dxa"/>
            <w:hideMark/>
          </w:tcPr>
          <w:p w:rsidR="00080465" w:rsidRPr="001A26EA" w:rsidRDefault="00080465" w:rsidP="00080465">
            <w:r w:rsidRPr="001A26EA">
              <w:t>70</w:t>
            </w:r>
          </w:p>
        </w:tc>
        <w:tc>
          <w:tcPr>
            <w:tcW w:w="886" w:type="dxa"/>
            <w:hideMark/>
          </w:tcPr>
          <w:p w:rsidR="00080465" w:rsidRPr="001A26EA" w:rsidRDefault="00080465" w:rsidP="00080465">
            <w:r w:rsidRPr="001A26EA">
              <w:t>77</w:t>
            </w:r>
          </w:p>
        </w:tc>
        <w:tc>
          <w:tcPr>
            <w:tcW w:w="886" w:type="dxa"/>
            <w:hideMark/>
          </w:tcPr>
          <w:p w:rsidR="00080465" w:rsidRPr="001A26EA" w:rsidRDefault="00080465" w:rsidP="00080465">
            <w:r w:rsidRPr="001A26EA">
              <w:t>84</w:t>
            </w:r>
          </w:p>
        </w:tc>
        <w:tc>
          <w:tcPr>
            <w:tcW w:w="1710" w:type="dxa"/>
            <w:hideMark/>
          </w:tcPr>
          <w:p w:rsidR="00080465" w:rsidRPr="001A26EA" w:rsidRDefault="00080465" w:rsidP="00080465">
            <w:r w:rsidRPr="001A26EA">
              <w:t>Country Office Annual Reports</w:t>
            </w:r>
          </w:p>
        </w:tc>
      </w:tr>
      <w:tr w:rsidR="00080465" w:rsidRPr="001A26EA" w:rsidTr="00080465">
        <w:trPr>
          <w:trHeight w:val="1367"/>
        </w:trPr>
        <w:tc>
          <w:tcPr>
            <w:tcW w:w="804" w:type="dxa"/>
            <w:vMerge w:val="restart"/>
            <w:tcBorders>
              <w:top w:val="nil"/>
            </w:tcBorders>
            <w:shd w:val="clear" w:color="auto" w:fill="auto"/>
            <w:noWrap/>
            <w:hideMark/>
          </w:tcPr>
          <w:p w:rsidR="00080465" w:rsidRPr="001A26EA" w:rsidRDefault="00080465" w:rsidP="00080465"/>
        </w:tc>
        <w:tc>
          <w:tcPr>
            <w:tcW w:w="840" w:type="dxa"/>
            <w:vMerge/>
            <w:shd w:val="clear" w:color="auto" w:fill="auto"/>
          </w:tcPr>
          <w:p w:rsidR="00080465" w:rsidRPr="001A26EA" w:rsidRDefault="00080465" w:rsidP="00080465"/>
        </w:tc>
        <w:tc>
          <w:tcPr>
            <w:tcW w:w="2463" w:type="dxa"/>
            <w:gridSpan w:val="2"/>
            <w:vMerge/>
            <w:shd w:val="clear" w:color="auto" w:fill="F2F2F2"/>
            <w:hideMark/>
          </w:tcPr>
          <w:p w:rsidR="00080465" w:rsidRPr="001A26EA" w:rsidRDefault="00080465" w:rsidP="00080465"/>
        </w:tc>
        <w:tc>
          <w:tcPr>
            <w:tcW w:w="3434" w:type="dxa"/>
            <w:gridSpan w:val="3"/>
            <w:hideMark/>
          </w:tcPr>
          <w:p w:rsidR="00080465" w:rsidRPr="001A26EA" w:rsidRDefault="00080465" w:rsidP="00080465">
            <w:r w:rsidRPr="001A26EA">
              <w:t>3.2: Number of countries that have used the results of an emergency obstetric and newborn care (EmONC) needs assessment to develop a costed national action plan to scale-up maternal and newborn health services</w:t>
            </w:r>
          </w:p>
        </w:tc>
        <w:tc>
          <w:tcPr>
            <w:tcW w:w="1020" w:type="dxa"/>
            <w:gridSpan w:val="2"/>
            <w:hideMark/>
          </w:tcPr>
          <w:p w:rsidR="00080465" w:rsidRPr="001A26EA" w:rsidRDefault="00080465" w:rsidP="00080465">
            <w:r w:rsidRPr="001A26EA">
              <w:t>47</w:t>
            </w:r>
          </w:p>
        </w:tc>
        <w:tc>
          <w:tcPr>
            <w:tcW w:w="751" w:type="dxa"/>
            <w:hideMark/>
          </w:tcPr>
          <w:p w:rsidR="00080465" w:rsidRPr="001A26EA" w:rsidRDefault="00080465" w:rsidP="00080465">
            <w:r w:rsidRPr="001A26EA">
              <w:t>77</w:t>
            </w:r>
          </w:p>
        </w:tc>
        <w:tc>
          <w:tcPr>
            <w:tcW w:w="886" w:type="dxa"/>
            <w:hideMark/>
          </w:tcPr>
          <w:p w:rsidR="00080465" w:rsidRPr="001A26EA" w:rsidRDefault="00080465" w:rsidP="00080465">
            <w:r w:rsidRPr="001A26EA">
              <w:t>90</w:t>
            </w:r>
          </w:p>
        </w:tc>
        <w:tc>
          <w:tcPr>
            <w:tcW w:w="886" w:type="dxa"/>
            <w:hideMark/>
          </w:tcPr>
          <w:p w:rsidR="00080465" w:rsidRPr="001A26EA" w:rsidRDefault="00080465" w:rsidP="00080465">
            <w:r w:rsidRPr="001A26EA">
              <w:t>98</w:t>
            </w:r>
          </w:p>
        </w:tc>
        <w:tc>
          <w:tcPr>
            <w:tcW w:w="886" w:type="dxa"/>
            <w:hideMark/>
          </w:tcPr>
          <w:p w:rsidR="00080465" w:rsidRPr="001A26EA" w:rsidRDefault="00080465" w:rsidP="00080465">
            <w:r w:rsidRPr="001A26EA">
              <w:t>105</w:t>
            </w:r>
          </w:p>
        </w:tc>
        <w:tc>
          <w:tcPr>
            <w:tcW w:w="1710" w:type="dxa"/>
            <w:hideMark/>
          </w:tcPr>
          <w:p w:rsidR="00080465" w:rsidRPr="001A26EA" w:rsidRDefault="00080465" w:rsidP="00080465">
            <w:r w:rsidRPr="001A26EA">
              <w:t>Country Office Annual Reports</w:t>
            </w:r>
          </w:p>
        </w:tc>
      </w:tr>
      <w:tr w:rsidR="00080465" w:rsidRPr="001A26EA" w:rsidTr="00080465">
        <w:trPr>
          <w:trHeight w:val="440"/>
        </w:trPr>
        <w:tc>
          <w:tcPr>
            <w:tcW w:w="804" w:type="dxa"/>
            <w:vMerge/>
            <w:tcBorders>
              <w:top w:val="single" w:sz="4" w:space="0" w:color="auto"/>
            </w:tcBorders>
            <w:shd w:val="clear" w:color="auto" w:fill="auto"/>
            <w:noWrap/>
            <w:hideMark/>
          </w:tcPr>
          <w:p w:rsidR="00080465" w:rsidRPr="001A26EA" w:rsidRDefault="00080465" w:rsidP="00080465"/>
        </w:tc>
        <w:tc>
          <w:tcPr>
            <w:tcW w:w="840" w:type="dxa"/>
            <w:vMerge/>
            <w:shd w:val="clear" w:color="auto" w:fill="auto"/>
          </w:tcPr>
          <w:p w:rsidR="00080465" w:rsidRPr="001A26EA" w:rsidRDefault="00080465" w:rsidP="00080465"/>
        </w:tc>
        <w:tc>
          <w:tcPr>
            <w:tcW w:w="2463" w:type="dxa"/>
            <w:gridSpan w:val="2"/>
            <w:vMerge/>
            <w:shd w:val="clear" w:color="auto" w:fill="F2F2F2"/>
            <w:hideMark/>
          </w:tcPr>
          <w:p w:rsidR="00080465" w:rsidRPr="001A26EA" w:rsidRDefault="00080465" w:rsidP="00080465"/>
        </w:tc>
        <w:tc>
          <w:tcPr>
            <w:tcW w:w="3434" w:type="dxa"/>
            <w:gridSpan w:val="3"/>
            <w:hideMark/>
          </w:tcPr>
          <w:p w:rsidR="00080465" w:rsidRPr="001A26EA" w:rsidRDefault="00080465" w:rsidP="00080465">
            <w:r w:rsidRPr="001A26EA">
              <w:t>3.3: Number of fistula repair surgeries</w:t>
            </w:r>
          </w:p>
        </w:tc>
        <w:tc>
          <w:tcPr>
            <w:tcW w:w="1020" w:type="dxa"/>
            <w:gridSpan w:val="2"/>
            <w:hideMark/>
          </w:tcPr>
          <w:p w:rsidR="00080465" w:rsidRPr="001A26EA" w:rsidRDefault="00080465" w:rsidP="00080465">
            <w:r w:rsidRPr="001A26EA">
              <w:t>8,400</w:t>
            </w:r>
          </w:p>
        </w:tc>
        <w:tc>
          <w:tcPr>
            <w:tcW w:w="751" w:type="dxa"/>
            <w:hideMark/>
          </w:tcPr>
          <w:p w:rsidR="00080465" w:rsidRPr="001A26EA" w:rsidRDefault="00080465" w:rsidP="00080465">
            <w:r w:rsidRPr="001A26EA">
              <w:t>11,200</w:t>
            </w:r>
          </w:p>
        </w:tc>
        <w:tc>
          <w:tcPr>
            <w:tcW w:w="886" w:type="dxa"/>
            <w:hideMark/>
          </w:tcPr>
          <w:p w:rsidR="00080465" w:rsidRPr="001A26EA" w:rsidRDefault="00080465" w:rsidP="00080465">
            <w:r w:rsidRPr="001A26EA">
              <w:t>12,400</w:t>
            </w:r>
          </w:p>
        </w:tc>
        <w:tc>
          <w:tcPr>
            <w:tcW w:w="886" w:type="dxa"/>
            <w:hideMark/>
          </w:tcPr>
          <w:p w:rsidR="00080465" w:rsidRPr="001A26EA" w:rsidRDefault="00080465" w:rsidP="00080465">
            <w:r w:rsidRPr="001A26EA">
              <w:t>13,600</w:t>
            </w:r>
          </w:p>
        </w:tc>
        <w:tc>
          <w:tcPr>
            <w:tcW w:w="886" w:type="dxa"/>
            <w:hideMark/>
          </w:tcPr>
          <w:p w:rsidR="00080465" w:rsidRPr="001A26EA" w:rsidRDefault="00080465" w:rsidP="00080465">
            <w:r w:rsidRPr="001A26EA">
              <w:t>14,800</w:t>
            </w:r>
          </w:p>
        </w:tc>
        <w:tc>
          <w:tcPr>
            <w:tcW w:w="1710" w:type="dxa"/>
            <w:hideMark/>
          </w:tcPr>
          <w:p w:rsidR="00080465" w:rsidRPr="001A26EA" w:rsidRDefault="00080465" w:rsidP="00080465">
            <w:r w:rsidRPr="001A26EA">
              <w:t>Country Office Annual Reports</w:t>
            </w:r>
          </w:p>
        </w:tc>
      </w:tr>
      <w:tr w:rsidR="00080465" w:rsidRPr="001A26EA" w:rsidTr="00080465">
        <w:trPr>
          <w:trHeight w:val="945"/>
        </w:trPr>
        <w:tc>
          <w:tcPr>
            <w:tcW w:w="804" w:type="dxa"/>
            <w:vMerge/>
            <w:tcBorders>
              <w:top w:val="single" w:sz="4" w:space="0" w:color="auto"/>
            </w:tcBorders>
            <w:shd w:val="clear" w:color="auto" w:fill="auto"/>
            <w:noWrap/>
            <w:hideMark/>
          </w:tcPr>
          <w:p w:rsidR="00080465" w:rsidRPr="001A26EA" w:rsidRDefault="00080465" w:rsidP="00080465"/>
        </w:tc>
        <w:tc>
          <w:tcPr>
            <w:tcW w:w="840" w:type="dxa"/>
            <w:vMerge/>
            <w:shd w:val="clear" w:color="auto" w:fill="auto"/>
          </w:tcPr>
          <w:p w:rsidR="00080465" w:rsidRPr="001A26EA" w:rsidRDefault="00080465" w:rsidP="00080465"/>
        </w:tc>
        <w:tc>
          <w:tcPr>
            <w:tcW w:w="2463" w:type="dxa"/>
            <w:gridSpan w:val="2"/>
            <w:vMerge/>
            <w:shd w:val="clear" w:color="auto" w:fill="F2F2F2"/>
            <w:hideMark/>
          </w:tcPr>
          <w:p w:rsidR="00080465" w:rsidRPr="001A26EA" w:rsidRDefault="00080465" w:rsidP="00080465"/>
        </w:tc>
        <w:tc>
          <w:tcPr>
            <w:tcW w:w="3434" w:type="dxa"/>
            <w:gridSpan w:val="3"/>
            <w:hideMark/>
          </w:tcPr>
          <w:p w:rsidR="00080465" w:rsidRPr="001A26EA" w:rsidRDefault="00080465" w:rsidP="00080465">
            <w:r w:rsidRPr="001A26EA">
              <w:t>3.4: Number of countries that have established national systems for maternal death surveillance and response</w:t>
            </w:r>
          </w:p>
        </w:tc>
        <w:tc>
          <w:tcPr>
            <w:tcW w:w="1020" w:type="dxa"/>
            <w:gridSpan w:val="2"/>
            <w:hideMark/>
          </w:tcPr>
          <w:p w:rsidR="00080465" w:rsidRPr="00387219" w:rsidRDefault="00080465" w:rsidP="00080465">
            <w:pPr>
              <w:rPr>
                <w:iCs/>
              </w:rPr>
            </w:pPr>
            <w:r>
              <w:rPr>
                <w:iCs/>
              </w:rPr>
              <w:t>5</w:t>
            </w:r>
          </w:p>
        </w:tc>
        <w:tc>
          <w:tcPr>
            <w:tcW w:w="751" w:type="dxa"/>
            <w:hideMark/>
          </w:tcPr>
          <w:p w:rsidR="00080465" w:rsidRPr="00387219" w:rsidRDefault="00080465" w:rsidP="00080465">
            <w:pPr>
              <w:rPr>
                <w:iCs/>
              </w:rPr>
            </w:pPr>
            <w:r>
              <w:rPr>
                <w:iCs/>
              </w:rPr>
              <w:t>15</w:t>
            </w:r>
          </w:p>
        </w:tc>
        <w:tc>
          <w:tcPr>
            <w:tcW w:w="886" w:type="dxa"/>
            <w:hideMark/>
          </w:tcPr>
          <w:p w:rsidR="00080465" w:rsidRPr="00387219" w:rsidRDefault="00080465" w:rsidP="00080465">
            <w:pPr>
              <w:rPr>
                <w:iCs/>
              </w:rPr>
            </w:pPr>
            <w:r>
              <w:rPr>
                <w:iCs/>
              </w:rPr>
              <w:t>25</w:t>
            </w:r>
          </w:p>
        </w:tc>
        <w:tc>
          <w:tcPr>
            <w:tcW w:w="886" w:type="dxa"/>
            <w:hideMark/>
          </w:tcPr>
          <w:p w:rsidR="00080465" w:rsidRPr="00387219" w:rsidRDefault="00080465" w:rsidP="00080465">
            <w:pPr>
              <w:rPr>
                <w:iCs/>
              </w:rPr>
            </w:pPr>
            <w:r>
              <w:rPr>
                <w:iCs/>
              </w:rPr>
              <w:t>35</w:t>
            </w:r>
          </w:p>
        </w:tc>
        <w:tc>
          <w:tcPr>
            <w:tcW w:w="886" w:type="dxa"/>
            <w:hideMark/>
          </w:tcPr>
          <w:p w:rsidR="00080465" w:rsidRPr="00387219" w:rsidRDefault="00080465" w:rsidP="00080465">
            <w:pPr>
              <w:rPr>
                <w:iCs/>
              </w:rPr>
            </w:pPr>
            <w:r>
              <w:rPr>
                <w:iCs/>
              </w:rPr>
              <w:t>45</w:t>
            </w:r>
          </w:p>
        </w:tc>
        <w:tc>
          <w:tcPr>
            <w:tcW w:w="1710" w:type="dxa"/>
            <w:hideMark/>
          </w:tcPr>
          <w:p w:rsidR="00080465" w:rsidRPr="001A26EA" w:rsidRDefault="00080465" w:rsidP="00080465">
            <w:r w:rsidRPr="001A26EA">
              <w:t>World Health Organization programme database</w:t>
            </w:r>
          </w:p>
        </w:tc>
      </w:tr>
      <w:tr w:rsidR="00080465" w:rsidRPr="001A26EA" w:rsidTr="00080465">
        <w:trPr>
          <w:trHeight w:val="1070"/>
        </w:trPr>
        <w:tc>
          <w:tcPr>
            <w:tcW w:w="804" w:type="dxa"/>
            <w:vMerge/>
            <w:tcBorders>
              <w:top w:val="single" w:sz="4" w:space="0" w:color="auto"/>
            </w:tcBorders>
            <w:shd w:val="clear" w:color="auto" w:fill="auto"/>
            <w:noWrap/>
            <w:hideMark/>
          </w:tcPr>
          <w:p w:rsidR="00080465" w:rsidRPr="001A26EA" w:rsidRDefault="00080465" w:rsidP="00080465"/>
        </w:tc>
        <w:tc>
          <w:tcPr>
            <w:tcW w:w="840" w:type="dxa"/>
            <w:vMerge/>
            <w:shd w:val="clear" w:color="auto" w:fill="auto"/>
          </w:tcPr>
          <w:p w:rsidR="00080465" w:rsidRPr="001A26EA" w:rsidRDefault="00080465" w:rsidP="00080465"/>
        </w:tc>
        <w:tc>
          <w:tcPr>
            <w:tcW w:w="2463" w:type="dxa"/>
            <w:gridSpan w:val="2"/>
            <w:vMerge w:val="restart"/>
            <w:shd w:val="clear" w:color="auto" w:fill="F2F2F2"/>
          </w:tcPr>
          <w:p w:rsidR="00080465" w:rsidRPr="001A26EA" w:rsidRDefault="00080465" w:rsidP="00080465">
            <w:r w:rsidRPr="00F43D71">
              <w:rPr>
                <w:b/>
              </w:rPr>
              <w:t>Output 4:</w:t>
            </w:r>
            <w:r w:rsidRPr="001A26EA">
              <w:t xml:space="preserve"> Increased national capacity to deliver HIV programmes that are free of stigma and discrimination, consistent with the UNAIDS unified budget results and accountability framework (UBRAF)</w:t>
            </w:r>
            <w:r>
              <w:t xml:space="preserve"> commitments</w:t>
            </w:r>
          </w:p>
        </w:tc>
        <w:tc>
          <w:tcPr>
            <w:tcW w:w="3434" w:type="dxa"/>
            <w:gridSpan w:val="3"/>
          </w:tcPr>
          <w:p w:rsidR="00080465" w:rsidRPr="001A26EA" w:rsidRDefault="00080465" w:rsidP="00080465">
            <w:r w:rsidRPr="001A26EA">
              <w:t>4.1: Number of countries that have social behaviour change communication (SBCC) strategies for adolescent and youth includ</w:t>
            </w:r>
            <w:r>
              <w:t>ing those from key populations</w:t>
            </w:r>
          </w:p>
        </w:tc>
        <w:tc>
          <w:tcPr>
            <w:tcW w:w="1020" w:type="dxa"/>
            <w:gridSpan w:val="2"/>
          </w:tcPr>
          <w:p w:rsidR="00080465" w:rsidRPr="001A26EA" w:rsidRDefault="00080465" w:rsidP="00080465">
            <w:r w:rsidRPr="001A26EA">
              <w:t>59</w:t>
            </w:r>
          </w:p>
        </w:tc>
        <w:tc>
          <w:tcPr>
            <w:tcW w:w="751" w:type="dxa"/>
          </w:tcPr>
          <w:p w:rsidR="00080465" w:rsidRPr="001A26EA" w:rsidRDefault="00080465" w:rsidP="00080465">
            <w:r w:rsidRPr="001A26EA">
              <w:t>81</w:t>
            </w:r>
          </w:p>
        </w:tc>
        <w:tc>
          <w:tcPr>
            <w:tcW w:w="886" w:type="dxa"/>
          </w:tcPr>
          <w:p w:rsidR="00080465" w:rsidRPr="001A26EA" w:rsidRDefault="00080465" w:rsidP="00080465">
            <w:r w:rsidRPr="001A26EA">
              <w:t>92</w:t>
            </w:r>
          </w:p>
        </w:tc>
        <w:tc>
          <w:tcPr>
            <w:tcW w:w="886" w:type="dxa"/>
          </w:tcPr>
          <w:p w:rsidR="00080465" w:rsidRPr="001A26EA" w:rsidRDefault="00080465" w:rsidP="00080465">
            <w:r w:rsidRPr="001A26EA">
              <w:t>103</w:t>
            </w:r>
          </w:p>
        </w:tc>
        <w:tc>
          <w:tcPr>
            <w:tcW w:w="886" w:type="dxa"/>
          </w:tcPr>
          <w:p w:rsidR="00080465" w:rsidRPr="001A26EA" w:rsidRDefault="00080465" w:rsidP="00080465">
            <w:r w:rsidRPr="001A26EA">
              <w:t>113</w:t>
            </w:r>
          </w:p>
        </w:tc>
        <w:tc>
          <w:tcPr>
            <w:tcW w:w="1710" w:type="dxa"/>
          </w:tcPr>
          <w:p w:rsidR="00080465" w:rsidRPr="001A26EA" w:rsidRDefault="00080465" w:rsidP="00080465">
            <w:r w:rsidRPr="001A26EA">
              <w:t>Country Office Annual Reports</w:t>
            </w:r>
          </w:p>
        </w:tc>
      </w:tr>
      <w:tr w:rsidR="00080465" w:rsidRPr="001A26EA" w:rsidTr="00080465">
        <w:trPr>
          <w:trHeight w:val="863"/>
        </w:trPr>
        <w:tc>
          <w:tcPr>
            <w:tcW w:w="804" w:type="dxa"/>
            <w:vMerge/>
            <w:tcBorders>
              <w:top w:val="single" w:sz="4" w:space="0" w:color="auto"/>
            </w:tcBorders>
            <w:shd w:val="clear" w:color="auto" w:fill="auto"/>
            <w:noWrap/>
          </w:tcPr>
          <w:p w:rsidR="00080465" w:rsidRPr="001A26EA" w:rsidRDefault="00080465" w:rsidP="00080465"/>
        </w:tc>
        <w:tc>
          <w:tcPr>
            <w:tcW w:w="840" w:type="dxa"/>
            <w:vMerge/>
            <w:shd w:val="clear" w:color="auto" w:fill="auto"/>
          </w:tcPr>
          <w:p w:rsidR="00080465" w:rsidRPr="001A26EA" w:rsidRDefault="00080465" w:rsidP="00080465"/>
        </w:tc>
        <w:tc>
          <w:tcPr>
            <w:tcW w:w="2463" w:type="dxa"/>
            <w:gridSpan w:val="2"/>
            <w:vMerge/>
            <w:shd w:val="clear" w:color="auto" w:fill="F2F2F2"/>
          </w:tcPr>
          <w:p w:rsidR="00080465" w:rsidRPr="001A26EA" w:rsidRDefault="00080465" w:rsidP="00080465"/>
        </w:tc>
        <w:tc>
          <w:tcPr>
            <w:tcW w:w="3434" w:type="dxa"/>
            <w:gridSpan w:val="3"/>
          </w:tcPr>
          <w:p w:rsidR="00080465" w:rsidRPr="001A26EA" w:rsidRDefault="00080465" w:rsidP="00080465">
            <w:r w:rsidRPr="001A26EA">
              <w:t>4.2: Number of countries that have reached the imp</w:t>
            </w:r>
            <w:r>
              <w:t>lementation stage of the UNFPA</w:t>
            </w:r>
            <w:r w:rsidRPr="001A26EA">
              <w:t xml:space="preserve"> 10-step strategic approach to comprehensive condom programming</w:t>
            </w:r>
          </w:p>
        </w:tc>
        <w:tc>
          <w:tcPr>
            <w:tcW w:w="1020" w:type="dxa"/>
            <w:gridSpan w:val="2"/>
          </w:tcPr>
          <w:p w:rsidR="00080465" w:rsidRPr="001A26EA" w:rsidRDefault="00080465" w:rsidP="00080465">
            <w:r w:rsidRPr="001A26EA">
              <w:t>31</w:t>
            </w:r>
          </w:p>
        </w:tc>
        <w:tc>
          <w:tcPr>
            <w:tcW w:w="751" w:type="dxa"/>
          </w:tcPr>
          <w:p w:rsidR="00080465" w:rsidRPr="001A26EA" w:rsidRDefault="00080465" w:rsidP="00080465">
            <w:r w:rsidRPr="001A26EA">
              <w:t>55</w:t>
            </w:r>
          </w:p>
        </w:tc>
        <w:tc>
          <w:tcPr>
            <w:tcW w:w="886" w:type="dxa"/>
          </w:tcPr>
          <w:p w:rsidR="00080465" w:rsidRPr="001A26EA" w:rsidRDefault="00080465" w:rsidP="00080465">
            <w:r w:rsidRPr="001A26EA">
              <w:t>69</w:t>
            </w:r>
          </w:p>
        </w:tc>
        <w:tc>
          <w:tcPr>
            <w:tcW w:w="886" w:type="dxa"/>
          </w:tcPr>
          <w:p w:rsidR="00080465" w:rsidRPr="001A26EA" w:rsidRDefault="00080465" w:rsidP="00080465">
            <w:r w:rsidRPr="001A26EA">
              <w:t>86</w:t>
            </w:r>
          </w:p>
        </w:tc>
        <w:tc>
          <w:tcPr>
            <w:tcW w:w="886" w:type="dxa"/>
          </w:tcPr>
          <w:p w:rsidR="00080465" w:rsidRPr="001A26EA" w:rsidRDefault="00080465" w:rsidP="00080465">
            <w:r w:rsidRPr="001A26EA">
              <w:t>93</w:t>
            </w:r>
          </w:p>
        </w:tc>
        <w:tc>
          <w:tcPr>
            <w:tcW w:w="1710" w:type="dxa"/>
          </w:tcPr>
          <w:p w:rsidR="00080465" w:rsidRPr="001A26EA" w:rsidRDefault="00080465" w:rsidP="00080465">
            <w:r w:rsidRPr="001A26EA">
              <w:t>Country Office Annual Reports</w:t>
            </w:r>
          </w:p>
        </w:tc>
      </w:tr>
      <w:tr w:rsidR="00080465" w:rsidRPr="001A26EA" w:rsidTr="00080465">
        <w:trPr>
          <w:trHeight w:val="1520"/>
        </w:trPr>
        <w:tc>
          <w:tcPr>
            <w:tcW w:w="804" w:type="dxa"/>
            <w:vMerge/>
            <w:tcBorders>
              <w:top w:val="single" w:sz="4" w:space="0" w:color="auto"/>
            </w:tcBorders>
            <w:shd w:val="clear" w:color="auto" w:fill="auto"/>
            <w:noWrap/>
          </w:tcPr>
          <w:p w:rsidR="00080465" w:rsidRPr="001A26EA" w:rsidRDefault="00080465" w:rsidP="00080465"/>
        </w:tc>
        <w:tc>
          <w:tcPr>
            <w:tcW w:w="840" w:type="dxa"/>
            <w:vMerge/>
            <w:shd w:val="clear" w:color="auto" w:fill="auto"/>
          </w:tcPr>
          <w:p w:rsidR="00080465" w:rsidRPr="001A26EA" w:rsidRDefault="00080465" w:rsidP="00080465"/>
        </w:tc>
        <w:tc>
          <w:tcPr>
            <w:tcW w:w="2463" w:type="dxa"/>
            <w:gridSpan w:val="2"/>
            <w:vMerge/>
            <w:shd w:val="clear" w:color="auto" w:fill="F2F2F2"/>
          </w:tcPr>
          <w:p w:rsidR="00080465" w:rsidRPr="001A26EA" w:rsidRDefault="00080465" w:rsidP="00080465"/>
        </w:tc>
        <w:tc>
          <w:tcPr>
            <w:tcW w:w="3434" w:type="dxa"/>
            <w:gridSpan w:val="3"/>
          </w:tcPr>
          <w:p w:rsidR="00080465" w:rsidRPr="001A26EA" w:rsidRDefault="00080465" w:rsidP="00080465">
            <w:r>
              <w:t>4.3</w:t>
            </w:r>
            <w:r w:rsidRPr="001A26EA">
              <w:t xml:space="preserve">: </w:t>
            </w:r>
            <w:r w:rsidRPr="00AF305B">
              <w:t>Number of countries that have at least one community based sex worker-led organization engaged in the design, implementation, and monitoring of programmes that address HIV and sexual and reproductive health needs of  sex workers</w:t>
            </w:r>
          </w:p>
        </w:tc>
        <w:tc>
          <w:tcPr>
            <w:tcW w:w="1020" w:type="dxa"/>
            <w:gridSpan w:val="2"/>
          </w:tcPr>
          <w:p w:rsidR="00080465" w:rsidRPr="001A26EA" w:rsidRDefault="00080465" w:rsidP="00080465">
            <w:r>
              <w:t>32</w:t>
            </w:r>
          </w:p>
        </w:tc>
        <w:tc>
          <w:tcPr>
            <w:tcW w:w="751" w:type="dxa"/>
          </w:tcPr>
          <w:p w:rsidR="00080465" w:rsidRPr="001A26EA" w:rsidRDefault="00080465" w:rsidP="00080465">
            <w:r>
              <w:t>37</w:t>
            </w:r>
          </w:p>
        </w:tc>
        <w:tc>
          <w:tcPr>
            <w:tcW w:w="886" w:type="dxa"/>
          </w:tcPr>
          <w:p w:rsidR="00080465" w:rsidRPr="001A26EA" w:rsidRDefault="00080465" w:rsidP="00080465">
            <w:r>
              <w:t>44</w:t>
            </w:r>
          </w:p>
        </w:tc>
        <w:tc>
          <w:tcPr>
            <w:tcW w:w="886" w:type="dxa"/>
          </w:tcPr>
          <w:p w:rsidR="00080465" w:rsidRPr="001A26EA" w:rsidRDefault="00080465" w:rsidP="00080465">
            <w:r>
              <w:t>51</w:t>
            </w:r>
          </w:p>
        </w:tc>
        <w:tc>
          <w:tcPr>
            <w:tcW w:w="886" w:type="dxa"/>
          </w:tcPr>
          <w:p w:rsidR="00080465" w:rsidRPr="001A26EA" w:rsidRDefault="00080465" w:rsidP="00080465">
            <w:r>
              <w:t>56</w:t>
            </w:r>
          </w:p>
        </w:tc>
        <w:tc>
          <w:tcPr>
            <w:tcW w:w="1710" w:type="dxa"/>
          </w:tcPr>
          <w:p w:rsidR="00080465" w:rsidRPr="001A26EA" w:rsidRDefault="00080465" w:rsidP="00080465">
            <w:r w:rsidRPr="001A26EA">
              <w:t>Country Office Annual Reports</w:t>
            </w:r>
          </w:p>
        </w:tc>
      </w:tr>
      <w:tr w:rsidR="00080465" w:rsidRPr="001A26EA" w:rsidTr="00080465">
        <w:trPr>
          <w:trHeight w:val="629"/>
        </w:trPr>
        <w:tc>
          <w:tcPr>
            <w:tcW w:w="804" w:type="dxa"/>
            <w:vMerge/>
            <w:tcBorders>
              <w:top w:val="single" w:sz="4" w:space="0" w:color="auto"/>
            </w:tcBorders>
            <w:shd w:val="clear" w:color="auto" w:fill="auto"/>
            <w:noWrap/>
            <w:hideMark/>
          </w:tcPr>
          <w:p w:rsidR="00080465" w:rsidRPr="001A26EA" w:rsidRDefault="00080465" w:rsidP="00080465"/>
        </w:tc>
        <w:tc>
          <w:tcPr>
            <w:tcW w:w="840" w:type="dxa"/>
            <w:vMerge/>
            <w:shd w:val="clear" w:color="auto" w:fill="auto"/>
          </w:tcPr>
          <w:p w:rsidR="00080465" w:rsidRPr="001A26EA" w:rsidRDefault="00080465" w:rsidP="00080465"/>
        </w:tc>
        <w:tc>
          <w:tcPr>
            <w:tcW w:w="2463" w:type="dxa"/>
            <w:gridSpan w:val="2"/>
            <w:vMerge w:val="restart"/>
            <w:shd w:val="clear" w:color="auto" w:fill="F2F2F2"/>
            <w:hideMark/>
          </w:tcPr>
          <w:p w:rsidR="00080465" w:rsidRPr="001A26EA" w:rsidRDefault="00080465" w:rsidP="00080465">
            <w:r w:rsidRPr="00F43D71">
              <w:rPr>
                <w:b/>
              </w:rPr>
              <w:t>Output 5:</w:t>
            </w:r>
            <w:r w:rsidRPr="001A26EA">
              <w:t xml:space="preserve"> </w:t>
            </w:r>
            <w:r>
              <w:t>Increased</w:t>
            </w:r>
            <w:r w:rsidRPr="001A26EA">
              <w:t xml:space="preserve"> national capacity to provide sexual and reproductive health services in humanitarian settings</w:t>
            </w:r>
          </w:p>
        </w:tc>
        <w:tc>
          <w:tcPr>
            <w:tcW w:w="3434" w:type="dxa"/>
            <w:gridSpan w:val="3"/>
            <w:hideMark/>
          </w:tcPr>
          <w:p w:rsidR="00080465" w:rsidRPr="001A26EA" w:rsidRDefault="00080465" w:rsidP="00080465">
            <w:r w:rsidRPr="001A26EA">
              <w:t>5.1: Number of countries that have capacity to implemen</w:t>
            </w:r>
            <w:r>
              <w:t>t MISP at the onset of a crisis</w:t>
            </w:r>
          </w:p>
        </w:tc>
        <w:tc>
          <w:tcPr>
            <w:tcW w:w="1020" w:type="dxa"/>
            <w:gridSpan w:val="2"/>
            <w:noWrap/>
            <w:hideMark/>
          </w:tcPr>
          <w:p w:rsidR="00080465" w:rsidRPr="001A26EA" w:rsidRDefault="00080465" w:rsidP="00080465">
            <w:r w:rsidRPr="001A26EA">
              <w:t>30</w:t>
            </w:r>
          </w:p>
        </w:tc>
        <w:tc>
          <w:tcPr>
            <w:tcW w:w="751" w:type="dxa"/>
            <w:noWrap/>
            <w:hideMark/>
          </w:tcPr>
          <w:p w:rsidR="00080465" w:rsidRPr="001A26EA" w:rsidRDefault="00080465" w:rsidP="00080465">
            <w:r w:rsidRPr="001A26EA">
              <w:t>34</w:t>
            </w:r>
          </w:p>
        </w:tc>
        <w:tc>
          <w:tcPr>
            <w:tcW w:w="886" w:type="dxa"/>
            <w:noWrap/>
            <w:hideMark/>
          </w:tcPr>
          <w:p w:rsidR="00080465" w:rsidRPr="001A26EA" w:rsidRDefault="00080465" w:rsidP="00080465">
            <w:r w:rsidRPr="001A26EA">
              <w:t>41</w:t>
            </w:r>
          </w:p>
        </w:tc>
        <w:tc>
          <w:tcPr>
            <w:tcW w:w="886" w:type="dxa"/>
            <w:noWrap/>
            <w:hideMark/>
          </w:tcPr>
          <w:p w:rsidR="00080465" w:rsidRPr="001A26EA" w:rsidRDefault="00080465" w:rsidP="00080465">
            <w:r w:rsidRPr="001A26EA">
              <w:t>48</w:t>
            </w:r>
          </w:p>
        </w:tc>
        <w:tc>
          <w:tcPr>
            <w:tcW w:w="886" w:type="dxa"/>
            <w:noWrap/>
            <w:hideMark/>
          </w:tcPr>
          <w:p w:rsidR="00080465" w:rsidRPr="001A26EA" w:rsidRDefault="00080465" w:rsidP="00080465">
            <w:r w:rsidRPr="001A26EA">
              <w:t>51</w:t>
            </w:r>
          </w:p>
        </w:tc>
        <w:tc>
          <w:tcPr>
            <w:tcW w:w="1710" w:type="dxa"/>
            <w:hideMark/>
          </w:tcPr>
          <w:p w:rsidR="00080465" w:rsidRPr="001A26EA" w:rsidRDefault="00080465" w:rsidP="00080465">
            <w:r w:rsidRPr="001A26EA">
              <w:t>Country Office Annual Reports</w:t>
            </w:r>
          </w:p>
        </w:tc>
      </w:tr>
      <w:tr w:rsidR="00080465" w:rsidRPr="001A26EA" w:rsidTr="00080465">
        <w:trPr>
          <w:trHeight w:val="1637"/>
        </w:trPr>
        <w:tc>
          <w:tcPr>
            <w:tcW w:w="804" w:type="dxa"/>
            <w:vMerge/>
            <w:tcBorders>
              <w:top w:val="single" w:sz="4" w:space="0" w:color="auto"/>
            </w:tcBorders>
            <w:shd w:val="clear" w:color="auto" w:fill="auto"/>
            <w:noWrap/>
            <w:hideMark/>
          </w:tcPr>
          <w:p w:rsidR="00080465" w:rsidRPr="001A26EA" w:rsidRDefault="00080465" w:rsidP="00080465"/>
        </w:tc>
        <w:tc>
          <w:tcPr>
            <w:tcW w:w="840" w:type="dxa"/>
            <w:vMerge/>
            <w:shd w:val="clear" w:color="auto" w:fill="auto"/>
          </w:tcPr>
          <w:p w:rsidR="00080465" w:rsidRPr="001A26EA" w:rsidRDefault="00080465" w:rsidP="00080465"/>
        </w:tc>
        <w:tc>
          <w:tcPr>
            <w:tcW w:w="2463" w:type="dxa"/>
            <w:gridSpan w:val="2"/>
            <w:vMerge/>
            <w:shd w:val="clear" w:color="auto" w:fill="F2F2F2"/>
            <w:hideMark/>
          </w:tcPr>
          <w:p w:rsidR="00080465" w:rsidRPr="001A26EA" w:rsidRDefault="00080465" w:rsidP="00080465"/>
        </w:tc>
        <w:tc>
          <w:tcPr>
            <w:tcW w:w="3434" w:type="dxa"/>
            <w:gridSpan w:val="3"/>
            <w:hideMark/>
          </w:tcPr>
          <w:p w:rsidR="00080465" w:rsidRPr="001A26EA" w:rsidRDefault="00080465" w:rsidP="00080465">
            <w:r w:rsidRPr="001A26EA">
              <w:t>5.2: Number of countries that have humanitarian contingency plans  that include elements for addressing sexual and reproductive health needs of women, adolescents and youth including services for survivors of sexual violence in crises</w:t>
            </w:r>
          </w:p>
        </w:tc>
        <w:tc>
          <w:tcPr>
            <w:tcW w:w="1020" w:type="dxa"/>
            <w:gridSpan w:val="2"/>
            <w:noWrap/>
            <w:hideMark/>
          </w:tcPr>
          <w:p w:rsidR="00080465" w:rsidRPr="001A26EA" w:rsidRDefault="00080465" w:rsidP="00080465">
            <w:r w:rsidRPr="001A26EA">
              <w:t>32</w:t>
            </w:r>
          </w:p>
        </w:tc>
        <w:tc>
          <w:tcPr>
            <w:tcW w:w="751" w:type="dxa"/>
            <w:noWrap/>
            <w:hideMark/>
          </w:tcPr>
          <w:p w:rsidR="00080465" w:rsidRPr="001A26EA" w:rsidRDefault="00080465" w:rsidP="00080465">
            <w:r w:rsidRPr="001A26EA">
              <w:t>37</w:t>
            </w:r>
          </w:p>
        </w:tc>
        <w:tc>
          <w:tcPr>
            <w:tcW w:w="886" w:type="dxa"/>
            <w:noWrap/>
            <w:hideMark/>
          </w:tcPr>
          <w:p w:rsidR="00080465" w:rsidRPr="001A26EA" w:rsidRDefault="00080465" w:rsidP="00080465">
            <w:r w:rsidRPr="001A26EA">
              <w:t>44</w:t>
            </w:r>
          </w:p>
        </w:tc>
        <w:tc>
          <w:tcPr>
            <w:tcW w:w="886" w:type="dxa"/>
            <w:noWrap/>
            <w:hideMark/>
          </w:tcPr>
          <w:p w:rsidR="00080465" w:rsidRPr="001A26EA" w:rsidRDefault="00080465" w:rsidP="00080465">
            <w:r w:rsidRPr="001A26EA">
              <w:t>51</w:t>
            </w:r>
          </w:p>
        </w:tc>
        <w:tc>
          <w:tcPr>
            <w:tcW w:w="886" w:type="dxa"/>
            <w:noWrap/>
            <w:hideMark/>
          </w:tcPr>
          <w:p w:rsidR="00080465" w:rsidRPr="001A26EA" w:rsidRDefault="00080465" w:rsidP="00080465">
            <w:r w:rsidRPr="001A26EA">
              <w:t>54</w:t>
            </w:r>
          </w:p>
        </w:tc>
        <w:tc>
          <w:tcPr>
            <w:tcW w:w="1710" w:type="dxa"/>
            <w:hideMark/>
          </w:tcPr>
          <w:p w:rsidR="00080465" w:rsidRPr="001A26EA" w:rsidRDefault="00080465" w:rsidP="00080465">
            <w:r w:rsidRPr="001A26EA">
              <w:t>Country Office Annual Reports</w:t>
            </w:r>
          </w:p>
        </w:tc>
      </w:tr>
      <w:tr w:rsidR="00080465" w:rsidRPr="001A26EA" w:rsidTr="00080465">
        <w:trPr>
          <w:trHeight w:val="1349"/>
        </w:trPr>
        <w:tc>
          <w:tcPr>
            <w:tcW w:w="804" w:type="dxa"/>
            <w:vMerge/>
            <w:tcBorders>
              <w:top w:val="single" w:sz="4" w:space="0" w:color="auto"/>
            </w:tcBorders>
            <w:shd w:val="clear" w:color="auto" w:fill="auto"/>
            <w:noWrap/>
            <w:hideMark/>
          </w:tcPr>
          <w:p w:rsidR="00080465" w:rsidRPr="001A26EA" w:rsidRDefault="00080465" w:rsidP="00080465"/>
        </w:tc>
        <w:tc>
          <w:tcPr>
            <w:tcW w:w="3303" w:type="dxa"/>
            <w:gridSpan w:val="3"/>
            <w:vMerge w:val="restart"/>
            <w:shd w:val="clear" w:color="auto" w:fill="D9D9D9"/>
            <w:hideMark/>
          </w:tcPr>
          <w:p w:rsidR="00080465" w:rsidRPr="001A26EA" w:rsidRDefault="00080465" w:rsidP="00080465">
            <w:r w:rsidRPr="00F43D71">
              <w:rPr>
                <w:b/>
              </w:rPr>
              <w:t>Outcome 2:</w:t>
            </w:r>
            <w:r w:rsidRPr="001A26EA">
              <w:t xml:space="preserve"> Increased priority on adolescents, especially on very young adolescent girls, in national development policies and programmes, particularly increased availability of comprehensive sexuality education and sexual and reproductive health</w:t>
            </w:r>
          </w:p>
        </w:tc>
        <w:tc>
          <w:tcPr>
            <w:tcW w:w="3434" w:type="dxa"/>
            <w:gridSpan w:val="3"/>
            <w:hideMark/>
          </w:tcPr>
          <w:p w:rsidR="00080465" w:rsidRPr="001A26EA" w:rsidRDefault="00080465" w:rsidP="00080465">
            <w:r w:rsidRPr="001A26EA">
              <w:t>Outcome 2 indicator 1</w:t>
            </w:r>
            <w:r>
              <w:t>:</w:t>
            </w:r>
            <w:r w:rsidRPr="001A26EA">
              <w:t xml:space="preserve"> Percentage of young women and men aged 15-24 who correctly identify ways of preventing the sexual transmission of HIV and who reject major misconc</w:t>
            </w:r>
            <w:r>
              <w:t xml:space="preserve">eptions about HIV transmission </w:t>
            </w:r>
            <w:r w:rsidRPr="001A26EA">
              <w:t>(</w:t>
            </w:r>
            <w:r>
              <w:t>female</w:t>
            </w:r>
            <w:r w:rsidRPr="001A26EA">
              <w:t>/</w:t>
            </w:r>
            <w:r>
              <w:t>male</w:t>
            </w:r>
            <w:r w:rsidRPr="001A26EA">
              <w:t>)</w:t>
            </w:r>
          </w:p>
        </w:tc>
        <w:tc>
          <w:tcPr>
            <w:tcW w:w="1020" w:type="dxa"/>
            <w:gridSpan w:val="2"/>
            <w:hideMark/>
          </w:tcPr>
          <w:p w:rsidR="00080465" w:rsidRDefault="00080465" w:rsidP="00080465">
            <w:r w:rsidRPr="001A26EA">
              <w:t>22%/</w:t>
            </w:r>
          </w:p>
          <w:p w:rsidR="00080465" w:rsidRPr="001A26EA" w:rsidRDefault="00080465" w:rsidP="00080465">
            <w:r>
              <w:t>32</w:t>
            </w:r>
            <w:r w:rsidRPr="001A26EA">
              <w:t>%</w:t>
            </w:r>
          </w:p>
        </w:tc>
        <w:tc>
          <w:tcPr>
            <w:tcW w:w="751" w:type="dxa"/>
            <w:hideMark/>
          </w:tcPr>
          <w:p w:rsidR="00080465" w:rsidRPr="001A26EA" w:rsidRDefault="00080465" w:rsidP="00080465">
            <w:r w:rsidRPr="001A26EA">
              <w:t> </w:t>
            </w:r>
          </w:p>
        </w:tc>
        <w:tc>
          <w:tcPr>
            <w:tcW w:w="886" w:type="dxa"/>
            <w:hideMark/>
          </w:tcPr>
          <w:p w:rsidR="00080465" w:rsidRPr="001A26EA" w:rsidRDefault="00080465" w:rsidP="00080465">
            <w:r w:rsidRPr="001A26EA">
              <w:t>26%/</w:t>
            </w:r>
            <w:r>
              <w:t xml:space="preserve"> 36</w:t>
            </w:r>
            <w:r w:rsidRPr="001A26EA">
              <w:t>%</w:t>
            </w:r>
          </w:p>
        </w:tc>
        <w:tc>
          <w:tcPr>
            <w:tcW w:w="886" w:type="dxa"/>
            <w:hideMark/>
          </w:tcPr>
          <w:p w:rsidR="00080465" w:rsidRPr="001A26EA" w:rsidRDefault="00080465" w:rsidP="00080465">
            <w:r w:rsidRPr="001A26EA">
              <w:t> </w:t>
            </w:r>
          </w:p>
        </w:tc>
        <w:tc>
          <w:tcPr>
            <w:tcW w:w="886" w:type="dxa"/>
            <w:hideMark/>
          </w:tcPr>
          <w:p w:rsidR="00080465" w:rsidRPr="001A26EA" w:rsidRDefault="00080465" w:rsidP="00080465">
            <w:r w:rsidRPr="001A26EA">
              <w:t>28%/</w:t>
            </w:r>
            <w:r>
              <w:t xml:space="preserve"> </w:t>
            </w:r>
            <w:r w:rsidRPr="001A26EA">
              <w:t>38%</w:t>
            </w:r>
          </w:p>
        </w:tc>
        <w:tc>
          <w:tcPr>
            <w:tcW w:w="1710" w:type="dxa"/>
            <w:hideMark/>
          </w:tcPr>
          <w:p w:rsidR="00080465" w:rsidRPr="001A26EA" w:rsidRDefault="00080465" w:rsidP="00080465">
            <w:r>
              <w:t>UNFPA’s MDG5b+Info database</w:t>
            </w:r>
          </w:p>
        </w:tc>
      </w:tr>
      <w:tr w:rsidR="00080465" w:rsidRPr="001A26EA" w:rsidTr="00080465">
        <w:trPr>
          <w:trHeight w:val="1106"/>
        </w:trPr>
        <w:tc>
          <w:tcPr>
            <w:tcW w:w="804" w:type="dxa"/>
            <w:vMerge/>
            <w:tcBorders>
              <w:top w:val="single" w:sz="4" w:space="0" w:color="auto"/>
            </w:tcBorders>
            <w:shd w:val="clear" w:color="auto" w:fill="auto"/>
            <w:noWrap/>
            <w:hideMark/>
          </w:tcPr>
          <w:p w:rsidR="00080465" w:rsidRPr="001A26EA" w:rsidRDefault="00080465" w:rsidP="00080465"/>
        </w:tc>
        <w:tc>
          <w:tcPr>
            <w:tcW w:w="3303" w:type="dxa"/>
            <w:gridSpan w:val="3"/>
            <w:vMerge/>
            <w:shd w:val="clear" w:color="auto" w:fill="D9D9D9"/>
            <w:hideMark/>
          </w:tcPr>
          <w:p w:rsidR="00080465" w:rsidRPr="001A26EA" w:rsidRDefault="00080465" w:rsidP="00080465"/>
        </w:tc>
        <w:tc>
          <w:tcPr>
            <w:tcW w:w="3434" w:type="dxa"/>
            <w:gridSpan w:val="3"/>
            <w:hideMark/>
          </w:tcPr>
          <w:p w:rsidR="00080465" w:rsidRPr="001A26EA" w:rsidRDefault="00080465" w:rsidP="00080465">
            <w:r>
              <w:t>Outcome 2 indicator 2</w:t>
            </w:r>
            <w:r w:rsidRPr="001A26EA">
              <w:t xml:space="preserve">: </w:t>
            </w:r>
            <w:r w:rsidRPr="00AF305B">
              <w:t>Number of countries that have laws and policies that allow adolescents (regardless of marital status) access to sexual and reproductive health services</w:t>
            </w:r>
          </w:p>
        </w:tc>
        <w:tc>
          <w:tcPr>
            <w:tcW w:w="1020" w:type="dxa"/>
            <w:gridSpan w:val="2"/>
            <w:hideMark/>
          </w:tcPr>
          <w:p w:rsidR="00080465" w:rsidRPr="00AF305B" w:rsidRDefault="00080465" w:rsidP="00080465">
            <w:pPr>
              <w:rPr>
                <w:iCs/>
              </w:rPr>
            </w:pPr>
            <w:r>
              <w:rPr>
                <w:iCs/>
              </w:rPr>
              <w:t>74</w:t>
            </w:r>
          </w:p>
        </w:tc>
        <w:tc>
          <w:tcPr>
            <w:tcW w:w="751" w:type="dxa"/>
            <w:hideMark/>
          </w:tcPr>
          <w:p w:rsidR="00080465" w:rsidRPr="00AF305B" w:rsidRDefault="00080465" w:rsidP="00080465">
            <w:r w:rsidRPr="00AF305B">
              <w:t> </w:t>
            </w:r>
          </w:p>
        </w:tc>
        <w:tc>
          <w:tcPr>
            <w:tcW w:w="886" w:type="dxa"/>
            <w:hideMark/>
          </w:tcPr>
          <w:p w:rsidR="00080465" w:rsidRPr="00AF305B" w:rsidRDefault="00080465" w:rsidP="00080465">
            <w:pPr>
              <w:rPr>
                <w:iCs/>
              </w:rPr>
            </w:pPr>
            <w:r>
              <w:rPr>
                <w:iCs/>
              </w:rPr>
              <w:t>78</w:t>
            </w:r>
          </w:p>
        </w:tc>
        <w:tc>
          <w:tcPr>
            <w:tcW w:w="886" w:type="dxa"/>
            <w:hideMark/>
          </w:tcPr>
          <w:p w:rsidR="00080465" w:rsidRPr="00AF305B" w:rsidRDefault="00080465" w:rsidP="00080465">
            <w:r w:rsidRPr="00AF305B">
              <w:t> </w:t>
            </w:r>
          </w:p>
        </w:tc>
        <w:tc>
          <w:tcPr>
            <w:tcW w:w="886" w:type="dxa"/>
            <w:hideMark/>
          </w:tcPr>
          <w:p w:rsidR="00080465" w:rsidRPr="00AF305B" w:rsidRDefault="00080465" w:rsidP="00080465">
            <w:pPr>
              <w:rPr>
                <w:iCs/>
              </w:rPr>
            </w:pPr>
            <w:r>
              <w:rPr>
                <w:iCs/>
              </w:rPr>
              <w:t>88</w:t>
            </w:r>
          </w:p>
        </w:tc>
        <w:tc>
          <w:tcPr>
            <w:tcW w:w="1710" w:type="dxa"/>
            <w:hideMark/>
          </w:tcPr>
          <w:p w:rsidR="00080465" w:rsidRPr="001A26EA" w:rsidRDefault="00080465" w:rsidP="00080465">
            <w:r w:rsidRPr="001A26EA">
              <w:t>Country Office Annual Reports</w:t>
            </w:r>
          </w:p>
        </w:tc>
      </w:tr>
      <w:tr w:rsidR="00080465" w:rsidRPr="001A26EA" w:rsidTr="00080465">
        <w:trPr>
          <w:trHeight w:val="1200"/>
        </w:trPr>
        <w:tc>
          <w:tcPr>
            <w:tcW w:w="804" w:type="dxa"/>
            <w:vMerge/>
            <w:tcBorders>
              <w:top w:val="single" w:sz="4" w:space="0" w:color="auto"/>
            </w:tcBorders>
            <w:shd w:val="clear" w:color="auto" w:fill="auto"/>
            <w:noWrap/>
            <w:hideMark/>
          </w:tcPr>
          <w:p w:rsidR="00080465" w:rsidRPr="001A26EA" w:rsidRDefault="00080465" w:rsidP="00080465"/>
        </w:tc>
        <w:tc>
          <w:tcPr>
            <w:tcW w:w="840" w:type="dxa"/>
            <w:vMerge w:val="restart"/>
            <w:shd w:val="clear" w:color="auto" w:fill="auto"/>
            <w:noWrap/>
            <w:hideMark/>
          </w:tcPr>
          <w:p w:rsidR="00080465" w:rsidRPr="001A26EA" w:rsidRDefault="00080465" w:rsidP="00080465"/>
        </w:tc>
        <w:tc>
          <w:tcPr>
            <w:tcW w:w="2463" w:type="dxa"/>
            <w:gridSpan w:val="2"/>
            <w:vMerge w:val="restart"/>
            <w:shd w:val="clear" w:color="auto" w:fill="F2F2F2"/>
            <w:hideMark/>
          </w:tcPr>
          <w:p w:rsidR="00080465" w:rsidRPr="001A26EA" w:rsidRDefault="00080465" w:rsidP="00080465">
            <w:r w:rsidRPr="00F43D71">
              <w:rPr>
                <w:b/>
              </w:rPr>
              <w:t>Output 6:</w:t>
            </w:r>
            <w:r w:rsidRPr="001A26EA">
              <w:t xml:space="preserve"> Increased national capacity to conduct evidence-based advocacy for incorporating adolescents and youth and their human rights/needs in national laws, policies, programmes, including in humanitarian settings</w:t>
            </w:r>
          </w:p>
        </w:tc>
        <w:tc>
          <w:tcPr>
            <w:tcW w:w="3434" w:type="dxa"/>
            <w:gridSpan w:val="3"/>
            <w:hideMark/>
          </w:tcPr>
          <w:p w:rsidR="00080465" w:rsidRPr="001A26EA" w:rsidRDefault="00080465" w:rsidP="00080465">
            <w:r w:rsidRPr="001A26EA">
              <w:t>6.1: Number of countries with participatory platforms that advocate for increased investments in marginalized adolescents and youth, within development and health policies and programmes</w:t>
            </w:r>
          </w:p>
        </w:tc>
        <w:tc>
          <w:tcPr>
            <w:tcW w:w="1020" w:type="dxa"/>
            <w:gridSpan w:val="2"/>
            <w:hideMark/>
          </w:tcPr>
          <w:p w:rsidR="00080465" w:rsidRPr="001A26EA" w:rsidRDefault="00080465" w:rsidP="00080465">
            <w:r w:rsidRPr="001A26EA">
              <w:t>53</w:t>
            </w:r>
          </w:p>
        </w:tc>
        <w:tc>
          <w:tcPr>
            <w:tcW w:w="751" w:type="dxa"/>
            <w:hideMark/>
          </w:tcPr>
          <w:p w:rsidR="00080465" w:rsidRPr="001A26EA" w:rsidRDefault="00080465" w:rsidP="00080465">
            <w:r w:rsidRPr="001A26EA">
              <w:t>74</w:t>
            </w:r>
          </w:p>
        </w:tc>
        <w:tc>
          <w:tcPr>
            <w:tcW w:w="886" w:type="dxa"/>
            <w:hideMark/>
          </w:tcPr>
          <w:p w:rsidR="00080465" w:rsidRPr="001A26EA" w:rsidRDefault="00080465" w:rsidP="00080465">
            <w:r w:rsidRPr="001A26EA">
              <w:t>93</w:t>
            </w:r>
          </w:p>
        </w:tc>
        <w:tc>
          <w:tcPr>
            <w:tcW w:w="886" w:type="dxa"/>
            <w:hideMark/>
          </w:tcPr>
          <w:p w:rsidR="00080465" w:rsidRPr="001A26EA" w:rsidRDefault="00080465" w:rsidP="00080465">
            <w:r w:rsidRPr="001A26EA">
              <w:t>105</w:t>
            </w:r>
          </w:p>
        </w:tc>
        <w:tc>
          <w:tcPr>
            <w:tcW w:w="886" w:type="dxa"/>
            <w:hideMark/>
          </w:tcPr>
          <w:p w:rsidR="00080465" w:rsidRPr="001A26EA" w:rsidRDefault="00080465" w:rsidP="00080465">
            <w:r w:rsidRPr="001A26EA">
              <w:t>110</w:t>
            </w:r>
          </w:p>
        </w:tc>
        <w:tc>
          <w:tcPr>
            <w:tcW w:w="1710" w:type="dxa"/>
            <w:hideMark/>
          </w:tcPr>
          <w:p w:rsidR="00080465" w:rsidRPr="001A26EA" w:rsidRDefault="00080465" w:rsidP="00080465">
            <w:r w:rsidRPr="001A26EA">
              <w:t>Country Office Annual Reports</w:t>
            </w:r>
          </w:p>
        </w:tc>
      </w:tr>
      <w:tr w:rsidR="00080465" w:rsidRPr="001A26EA" w:rsidTr="00080465">
        <w:trPr>
          <w:trHeight w:val="1123"/>
        </w:trPr>
        <w:tc>
          <w:tcPr>
            <w:tcW w:w="804" w:type="dxa"/>
            <w:vMerge/>
            <w:tcBorders>
              <w:top w:val="single" w:sz="4" w:space="0" w:color="auto"/>
            </w:tcBorders>
            <w:shd w:val="clear" w:color="auto" w:fill="auto"/>
            <w:noWrap/>
            <w:hideMark/>
          </w:tcPr>
          <w:p w:rsidR="00080465" w:rsidRPr="001A26EA" w:rsidRDefault="00080465" w:rsidP="00080465"/>
        </w:tc>
        <w:tc>
          <w:tcPr>
            <w:tcW w:w="840" w:type="dxa"/>
            <w:vMerge/>
            <w:shd w:val="clear" w:color="auto" w:fill="auto"/>
            <w:noWrap/>
            <w:hideMark/>
          </w:tcPr>
          <w:p w:rsidR="00080465" w:rsidRPr="001A26EA" w:rsidRDefault="00080465" w:rsidP="00080465"/>
        </w:tc>
        <w:tc>
          <w:tcPr>
            <w:tcW w:w="2463" w:type="dxa"/>
            <w:gridSpan w:val="2"/>
            <w:vMerge/>
            <w:shd w:val="clear" w:color="auto" w:fill="F2F2F2"/>
            <w:hideMark/>
          </w:tcPr>
          <w:p w:rsidR="00080465" w:rsidRPr="001A26EA" w:rsidRDefault="00080465" w:rsidP="00080465"/>
        </w:tc>
        <w:tc>
          <w:tcPr>
            <w:tcW w:w="3434" w:type="dxa"/>
            <w:gridSpan w:val="3"/>
            <w:hideMark/>
          </w:tcPr>
          <w:p w:rsidR="00080465" w:rsidRPr="001A26EA" w:rsidRDefault="00080465" w:rsidP="00080465">
            <w:r w:rsidRPr="001A26EA">
              <w:t>6.2: Number of countries where UNFPA advocates for allowing adolescents and youth to have legal access to quality sexual and reproductive health counse</w:t>
            </w:r>
            <w:r>
              <w:t>l</w:t>
            </w:r>
            <w:r w:rsidRPr="001A26EA">
              <w:t>ling and HIV services</w:t>
            </w:r>
          </w:p>
        </w:tc>
        <w:tc>
          <w:tcPr>
            <w:tcW w:w="1020" w:type="dxa"/>
            <w:gridSpan w:val="2"/>
            <w:hideMark/>
          </w:tcPr>
          <w:p w:rsidR="00080465" w:rsidRPr="001A26EA" w:rsidRDefault="00080465" w:rsidP="00080465">
            <w:r w:rsidRPr="001A26EA">
              <w:t>42</w:t>
            </w:r>
          </w:p>
        </w:tc>
        <w:tc>
          <w:tcPr>
            <w:tcW w:w="751" w:type="dxa"/>
            <w:hideMark/>
          </w:tcPr>
          <w:p w:rsidR="00080465" w:rsidRPr="001A26EA" w:rsidRDefault="00080465" w:rsidP="00080465">
            <w:r w:rsidRPr="001A26EA">
              <w:t>36</w:t>
            </w:r>
          </w:p>
        </w:tc>
        <w:tc>
          <w:tcPr>
            <w:tcW w:w="886" w:type="dxa"/>
            <w:hideMark/>
          </w:tcPr>
          <w:p w:rsidR="00080465" w:rsidRPr="001A26EA" w:rsidRDefault="00080465" w:rsidP="00080465">
            <w:r w:rsidRPr="001A26EA">
              <w:t>23</w:t>
            </w:r>
          </w:p>
        </w:tc>
        <w:tc>
          <w:tcPr>
            <w:tcW w:w="886" w:type="dxa"/>
            <w:hideMark/>
          </w:tcPr>
          <w:p w:rsidR="00080465" w:rsidRPr="001A26EA" w:rsidRDefault="00080465" w:rsidP="00080465">
            <w:r w:rsidRPr="001A26EA">
              <w:t>23</w:t>
            </w:r>
          </w:p>
        </w:tc>
        <w:tc>
          <w:tcPr>
            <w:tcW w:w="886" w:type="dxa"/>
            <w:hideMark/>
          </w:tcPr>
          <w:p w:rsidR="00080465" w:rsidRPr="001A26EA" w:rsidRDefault="00080465" w:rsidP="00080465">
            <w:r w:rsidRPr="001A26EA">
              <w:t>19</w:t>
            </w:r>
          </w:p>
        </w:tc>
        <w:tc>
          <w:tcPr>
            <w:tcW w:w="1710" w:type="dxa"/>
            <w:hideMark/>
          </w:tcPr>
          <w:p w:rsidR="00080465" w:rsidRPr="001A26EA" w:rsidRDefault="00080465" w:rsidP="00080465">
            <w:r w:rsidRPr="001A26EA">
              <w:t>Country Office Annual Reports (not cumulative)</w:t>
            </w:r>
          </w:p>
        </w:tc>
      </w:tr>
      <w:tr w:rsidR="00080465" w:rsidRPr="001A26EA" w:rsidTr="00080465">
        <w:trPr>
          <w:trHeight w:val="1997"/>
        </w:trPr>
        <w:tc>
          <w:tcPr>
            <w:tcW w:w="804" w:type="dxa"/>
            <w:vMerge/>
            <w:tcBorders>
              <w:top w:val="single" w:sz="4" w:space="0" w:color="auto"/>
            </w:tcBorders>
            <w:shd w:val="clear" w:color="auto" w:fill="auto"/>
            <w:noWrap/>
            <w:hideMark/>
          </w:tcPr>
          <w:p w:rsidR="00080465" w:rsidRPr="001A26EA" w:rsidRDefault="00080465" w:rsidP="00080465"/>
        </w:tc>
        <w:tc>
          <w:tcPr>
            <w:tcW w:w="840" w:type="dxa"/>
            <w:vMerge/>
            <w:shd w:val="clear" w:color="auto" w:fill="auto"/>
            <w:noWrap/>
            <w:hideMark/>
          </w:tcPr>
          <w:p w:rsidR="00080465" w:rsidRPr="001A26EA" w:rsidRDefault="00080465" w:rsidP="00080465"/>
        </w:tc>
        <w:tc>
          <w:tcPr>
            <w:tcW w:w="2463" w:type="dxa"/>
            <w:gridSpan w:val="2"/>
            <w:shd w:val="clear" w:color="auto" w:fill="F2F2F2"/>
            <w:hideMark/>
          </w:tcPr>
          <w:p w:rsidR="00080465" w:rsidRPr="001A26EA" w:rsidRDefault="00080465" w:rsidP="00080465">
            <w:r w:rsidRPr="00F43D71">
              <w:rPr>
                <w:b/>
              </w:rPr>
              <w:t>Output 7:</w:t>
            </w:r>
            <w:r w:rsidRPr="001A26EA">
              <w:t xml:space="preserve"> Increased national capacity to design and implement community and school based comprehensive sexuality education (CSE) programmes that promote human rights and gender equality</w:t>
            </w:r>
          </w:p>
        </w:tc>
        <w:tc>
          <w:tcPr>
            <w:tcW w:w="3434" w:type="dxa"/>
            <w:gridSpan w:val="3"/>
            <w:hideMark/>
          </w:tcPr>
          <w:p w:rsidR="00080465" w:rsidRPr="001A26EA" w:rsidRDefault="00080465" w:rsidP="00080465">
            <w:r w:rsidRPr="001A26EA">
              <w:t>7.1: Number of countries in which all national comprehensive sexuality education curricula are aligned with international standards</w:t>
            </w:r>
          </w:p>
        </w:tc>
        <w:tc>
          <w:tcPr>
            <w:tcW w:w="1020" w:type="dxa"/>
            <w:gridSpan w:val="2"/>
            <w:hideMark/>
          </w:tcPr>
          <w:p w:rsidR="00080465" w:rsidRPr="001A26EA" w:rsidRDefault="00080465" w:rsidP="00080465">
            <w:r w:rsidRPr="001A26EA">
              <w:t>39</w:t>
            </w:r>
          </w:p>
        </w:tc>
        <w:tc>
          <w:tcPr>
            <w:tcW w:w="751" w:type="dxa"/>
            <w:hideMark/>
          </w:tcPr>
          <w:p w:rsidR="00080465" w:rsidRPr="001A26EA" w:rsidRDefault="00080465" w:rsidP="00080465">
            <w:r w:rsidRPr="001A26EA">
              <w:t>59</w:t>
            </w:r>
          </w:p>
        </w:tc>
        <w:tc>
          <w:tcPr>
            <w:tcW w:w="886" w:type="dxa"/>
            <w:hideMark/>
          </w:tcPr>
          <w:p w:rsidR="00080465" w:rsidRPr="001A26EA" w:rsidRDefault="00080465" w:rsidP="00080465">
            <w:r w:rsidRPr="001A26EA">
              <w:t>73</w:t>
            </w:r>
          </w:p>
        </w:tc>
        <w:tc>
          <w:tcPr>
            <w:tcW w:w="886" w:type="dxa"/>
            <w:hideMark/>
          </w:tcPr>
          <w:p w:rsidR="00080465" w:rsidRPr="001A26EA" w:rsidRDefault="00080465" w:rsidP="00080465">
            <w:r w:rsidRPr="001A26EA">
              <w:t>85</w:t>
            </w:r>
          </w:p>
        </w:tc>
        <w:tc>
          <w:tcPr>
            <w:tcW w:w="886" w:type="dxa"/>
            <w:hideMark/>
          </w:tcPr>
          <w:p w:rsidR="00080465" w:rsidRPr="001A26EA" w:rsidRDefault="00080465" w:rsidP="00080465">
            <w:r w:rsidRPr="001A26EA">
              <w:t>102</w:t>
            </w:r>
          </w:p>
        </w:tc>
        <w:tc>
          <w:tcPr>
            <w:tcW w:w="1710" w:type="dxa"/>
            <w:hideMark/>
          </w:tcPr>
          <w:p w:rsidR="00080465" w:rsidRPr="001A26EA" w:rsidRDefault="00080465" w:rsidP="00080465">
            <w:r w:rsidRPr="001A26EA">
              <w:t>Country Office Annual Reports</w:t>
            </w:r>
          </w:p>
        </w:tc>
      </w:tr>
      <w:tr w:rsidR="00080465" w:rsidRPr="001A26EA" w:rsidTr="00080465">
        <w:trPr>
          <w:trHeight w:val="1808"/>
        </w:trPr>
        <w:tc>
          <w:tcPr>
            <w:tcW w:w="804" w:type="dxa"/>
            <w:vMerge/>
            <w:tcBorders>
              <w:top w:val="single" w:sz="4" w:space="0" w:color="auto"/>
              <w:bottom w:val="nil"/>
            </w:tcBorders>
            <w:shd w:val="clear" w:color="auto" w:fill="auto"/>
            <w:noWrap/>
            <w:hideMark/>
          </w:tcPr>
          <w:p w:rsidR="00080465" w:rsidRPr="001A26EA" w:rsidRDefault="00080465" w:rsidP="00080465"/>
        </w:tc>
        <w:tc>
          <w:tcPr>
            <w:tcW w:w="840" w:type="dxa"/>
            <w:vMerge/>
            <w:shd w:val="clear" w:color="auto" w:fill="auto"/>
            <w:noWrap/>
            <w:hideMark/>
          </w:tcPr>
          <w:p w:rsidR="00080465" w:rsidRPr="001A26EA" w:rsidRDefault="00080465" w:rsidP="00080465"/>
        </w:tc>
        <w:tc>
          <w:tcPr>
            <w:tcW w:w="2463" w:type="dxa"/>
            <w:gridSpan w:val="2"/>
            <w:shd w:val="clear" w:color="auto" w:fill="F2F2F2"/>
            <w:hideMark/>
          </w:tcPr>
          <w:p w:rsidR="00080465" w:rsidRPr="001A26EA" w:rsidRDefault="00080465" w:rsidP="00080465">
            <w:r w:rsidRPr="00F43D71">
              <w:rPr>
                <w:b/>
              </w:rPr>
              <w:t>Output 8:</w:t>
            </w:r>
            <w:r w:rsidRPr="001A26EA">
              <w:t xml:space="preserve"> Increased capacity of partners to design and implement comprehensive programmes to reach marginalized adolescent girls including those at risk of child marriage</w:t>
            </w:r>
          </w:p>
        </w:tc>
        <w:tc>
          <w:tcPr>
            <w:tcW w:w="3434" w:type="dxa"/>
            <w:gridSpan w:val="3"/>
            <w:hideMark/>
          </w:tcPr>
          <w:p w:rsidR="00080465" w:rsidRPr="001A26EA" w:rsidRDefault="00080465" w:rsidP="00080465">
            <w:r w:rsidRPr="001A26EA">
              <w:t>8.1: Number of countries that have health, social and economic asset-building programmes that reach out adolescent girls at risk of child marriage</w:t>
            </w:r>
          </w:p>
        </w:tc>
        <w:tc>
          <w:tcPr>
            <w:tcW w:w="1020" w:type="dxa"/>
            <w:gridSpan w:val="2"/>
            <w:hideMark/>
          </w:tcPr>
          <w:p w:rsidR="00080465" w:rsidRPr="001A26EA" w:rsidRDefault="00080465" w:rsidP="00080465">
            <w:r w:rsidRPr="001A26EA">
              <w:t>29</w:t>
            </w:r>
          </w:p>
        </w:tc>
        <w:tc>
          <w:tcPr>
            <w:tcW w:w="751" w:type="dxa"/>
            <w:hideMark/>
          </w:tcPr>
          <w:p w:rsidR="00080465" w:rsidRPr="001A26EA" w:rsidRDefault="00080465" w:rsidP="00080465">
            <w:r w:rsidRPr="001A26EA">
              <w:t>38</w:t>
            </w:r>
          </w:p>
        </w:tc>
        <w:tc>
          <w:tcPr>
            <w:tcW w:w="886" w:type="dxa"/>
            <w:hideMark/>
          </w:tcPr>
          <w:p w:rsidR="00080465" w:rsidRPr="001A26EA" w:rsidRDefault="00080465" w:rsidP="00080465">
            <w:r w:rsidRPr="001A26EA">
              <w:t>52</w:t>
            </w:r>
          </w:p>
        </w:tc>
        <w:tc>
          <w:tcPr>
            <w:tcW w:w="886" w:type="dxa"/>
            <w:hideMark/>
          </w:tcPr>
          <w:p w:rsidR="00080465" w:rsidRPr="001A26EA" w:rsidRDefault="00080465" w:rsidP="00080465">
            <w:r w:rsidRPr="001A26EA">
              <w:t>60</w:t>
            </w:r>
          </w:p>
        </w:tc>
        <w:tc>
          <w:tcPr>
            <w:tcW w:w="886" w:type="dxa"/>
            <w:hideMark/>
          </w:tcPr>
          <w:p w:rsidR="00080465" w:rsidRPr="001A26EA" w:rsidRDefault="00080465" w:rsidP="00080465">
            <w:r w:rsidRPr="001A26EA">
              <w:t>71</w:t>
            </w:r>
          </w:p>
        </w:tc>
        <w:tc>
          <w:tcPr>
            <w:tcW w:w="1710" w:type="dxa"/>
            <w:hideMark/>
          </w:tcPr>
          <w:p w:rsidR="00080465" w:rsidRPr="001A26EA" w:rsidRDefault="00080465" w:rsidP="00080465">
            <w:r w:rsidRPr="001A26EA">
              <w:t>Country Office Annual Reports</w:t>
            </w:r>
          </w:p>
        </w:tc>
      </w:tr>
      <w:tr w:rsidR="00080465" w:rsidRPr="001A26EA" w:rsidTr="00080465">
        <w:trPr>
          <w:trHeight w:val="1043"/>
        </w:trPr>
        <w:tc>
          <w:tcPr>
            <w:tcW w:w="804" w:type="dxa"/>
            <w:vMerge w:val="restart"/>
            <w:tcBorders>
              <w:top w:val="nil"/>
            </w:tcBorders>
            <w:shd w:val="clear" w:color="auto" w:fill="auto"/>
            <w:noWrap/>
            <w:hideMark/>
          </w:tcPr>
          <w:p w:rsidR="00080465" w:rsidRPr="001A26EA" w:rsidRDefault="00080465" w:rsidP="00080465"/>
        </w:tc>
        <w:tc>
          <w:tcPr>
            <w:tcW w:w="3303" w:type="dxa"/>
            <w:gridSpan w:val="3"/>
            <w:vMerge w:val="restart"/>
            <w:shd w:val="clear" w:color="auto" w:fill="D9D9D9"/>
            <w:hideMark/>
          </w:tcPr>
          <w:p w:rsidR="00080465" w:rsidRPr="001A26EA" w:rsidRDefault="00080465" w:rsidP="00080465">
            <w:r w:rsidRPr="00F43D71">
              <w:rPr>
                <w:b/>
              </w:rPr>
              <w:t>Outcome 3:</w:t>
            </w:r>
            <w:r w:rsidRPr="001A26EA">
              <w:t xml:space="preserve"> Advanced gender equality, women’s and girls’ empowerment, and reproductive rights, including for the most vulnerable and marginalized women, adolescents and youth</w:t>
            </w:r>
          </w:p>
        </w:tc>
        <w:tc>
          <w:tcPr>
            <w:tcW w:w="3434" w:type="dxa"/>
            <w:gridSpan w:val="3"/>
            <w:hideMark/>
          </w:tcPr>
          <w:p w:rsidR="00080465" w:rsidRPr="001A26EA" w:rsidRDefault="00080465" w:rsidP="00080465">
            <w:r w:rsidRPr="001A26EA">
              <w:t>Outcome 3 indicator 1: Number of countries with gender equality national action plans that integrate reproductive rights with specific targets and national public budget allocations</w:t>
            </w:r>
          </w:p>
        </w:tc>
        <w:tc>
          <w:tcPr>
            <w:tcW w:w="1020" w:type="dxa"/>
            <w:gridSpan w:val="2"/>
            <w:hideMark/>
          </w:tcPr>
          <w:p w:rsidR="00080465" w:rsidRPr="001A26EA" w:rsidRDefault="00080465" w:rsidP="00080465">
            <w:r w:rsidRPr="001A26EA">
              <w:t>46</w:t>
            </w:r>
          </w:p>
        </w:tc>
        <w:tc>
          <w:tcPr>
            <w:tcW w:w="751" w:type="dxa"/>
            <w:hideMark/>
          </w:tcPr>
          <w:p w:rsidR="00080465" w:rsidRPr="001A26EA" w:rsidRDefault="00080465" w:rsidP="00080465">
            <w:r w:rsidRPr="001A26EA">
              <w:t> </w:t>
            </w:r>
          </w:p>
        </w:tc>
        <w:tc>
          <w:tcPr>
            <w:tcW w:w="886" w:type="dxa"/>
            <w:hideMark/>
          </w:tcPr>
          <w:p w:rsidR="00080465" w:rsidRPr="001A26EA" w:rsidRDefault="00080465" w:rsidP="00080465">
            <w:r w:rsidRPr="001A26EA">
              <w:t>62</w:t>
            </w:r>
          </w:p>
        </w:tc>
        <w:tc>
          <w:tcPr>
            <w:tcW w:w="886" w:type="dxa"/>
            <w:hideMark/>
          </w:tcPr>
          <w:p w:rsidR="00080465" w:rsidRPr="001A26EA" w:rsidRDefault="00080465" w:rsidP="00080465">
            <w:r w:rsidRPr="001A26EA">
              <w:t> </w:t>
            </w:r>
          </w:p>
        </w:tc>
        <w:tc>
          <w:tcPr>
            <w:tcW w:w="886" w:type="dxa"/>
            <w:hideMark/>
          </w:tcPr>
          <w:p w:rsidR="00080465" w:rsidRPr="001A26EA" w:rsidRDefault="00080465" w:rsidP="00080465">
            <w:r w:rsidRPr="001A26EA">
              <w:t>82</w:t>
            </w:r>
          </w:p>
        </w:tc>
        <w:tc>
          <w:tcPr>
            <w:tcW w:w="1710" w:type="dxa"/>
            <w:hideMark/>
          </w:tcPr>
          <w:p w:rsidR="00080465" w:rsidRPr="001A26EA" w:rsidRDefault="00080465" w:rsidP="00080465">
            <w:r w:rsidRPr="001A26EA">
              <w:t>Country Office Annual Reports</w:t>
            </w:r>
          </w:p>
        </w:tc>
      </w:tr>
      <w:tr w:rsidR="00080465" w:rsidRPr="001A26EA" w:rsidTr="00080465">
        <w:trPr>
          <w:trHeight w:val="1200"/>
        </w:trPr>
        <w:tc>
          <w:tcPr>
            <w:tcW w:w="804" w:type="dxa"/>
            <w:vMerge/>
            <w:shd w:val="clear" w:color="auto" w:fill="auto"/>
            <w:noWrap/>
            <w:hideMark/>
          </w:tcPr>
          <w:p w:rsidR="00080465" w:rsidRPr="001A26EA" w:rsidRDefault="00080465" w:rsidP="00080465"/>
        </w:tc>
        <w:tc>
          <w:tcPr>
            <w:tcW w:w="3303" w:type="dxa"/>
            <w:gridSpan w:val="3"/>
            <w:vMerge/>
            <w:shd w:val="clear" w:color="auto" w:fill="D9D9D9"/>
            <w:hideMark/>
          </w:tcPr>
          <w:p w:rsidR="00080465" w:rsidRPr="001A26EA" w:rsidRDefault="00080465" w:rsidP="00080465"/>
        </w:tc>
        <w:tc>
          <w:tcPr>
            <w:tcW w:w="3434" w:type="dxa"/>
            <w:gridSpan w:val="3"/>
            <w:hideMark/>
          </w:tcPr>
          <w:p w:rsidR="00080465" w:rsidRPr="001A26EA" w:rsidRDefault="00080465" w:rsidP="00080465">
            <w:r w:rsidRPr="001A26EA">
              <w:t xml:space="preserve">Outcome 3 indicator 2: Proportion of countries that have taken action on </w:t>
            </w:r>
            <w:r>
              <w:t xml:space="preserve">all </w:t>
            </w:r>
            <w:r w:rsidRPr="001A26EA">
              <w:t>of the Universal Periodical Review (UPR) accepted recommendations on reproductive rights from the previous reporting cycle</w:t>
            </w:r>
          </w:p>
        </w:tc>
        <w:tc>
          <w:tcPr>
            <w:tcW w:w="1020" w:type="dxa"/>
            <w:gridSpan w:val="2"/>
            <w:hideMark/>
          </w:tcPr>
          <w:p w:rsidR="00080465" w:rsidRPr="001A26EA" w:rsidRDefault="00080465" w:rsidP="00080465">
            <w:r>
              <w:t>37</w:t>
            </w:r>
            <w:r w:rsidRPr="001A26EA">
              <w:t>%</w:t>
            </w:r>
          </w:p>
        </w:tc>
        <w:tc>
          <w:tcPr>
            <w:tcW w:w="751" w:type="dxa"/>
            <w:hideMark/>
          </w:tcPr>
          <w:p w:rsidR="00080465" w:rsidRPr="001A26EA" w:rsidRDefault="00080465" w:rsidP="00080465">
            <w:r w:rsidRPr="001A26EA">
              <w:t> </w:t>
            </w:r>
          </w:p>
        </w:tc>
        <w:tc>
          <w:tcPr>
            <w:tcW w:w="886" w:type="dxa"/>
            <w:hideMark/>
          </w:tcPr>
          <w:p w:rsidR="00080465" w:rsidRPr="001A26EA" w:rsidRDefault="00080465" w:rsidP="00080465">
            <w:r>
              <w:t>43</w:t>
            </w:r>
            <w:r w:rsidRPr="001A26EA">
              <w:t>%</w:t>
            </w:r>
          </w:p>
        </w:tc>
        <w:tc>
          <w:tcPr>
            <w:tcW w:w="886" w:type="dxa"/>
            <w:hideMark/>
          </w:tcPr>
          <w:p w:rsidR="00080465" w:rsidRPr="001A26EA" w:rsidRDefault="00080465" w:rsidP="00080465">
            <w:r w:rsidRPr="001A26EA">
              <w:t> </w:t>
            </w:r>
          </w:p>
        </w:tc>
        <w:tc>
          <w:tcPr>
            <w:tcW w:w="886" w:type="dxa"/>
            <w:hideMark/>
          </w:tcPr>
          <w:p w:rsidR="00080465" w:rsidRPr="001A26EA" w:rsidRDefault="00080465" w:rsidP="00080465">
            <w:r>
              <w:t>49</w:t>
            </w:r>
            <w:r w:rsidRPr="001A26EA">
              <w:t>%</w:t>
            </w:r>
          </w:p>
        </w:tc>
        <w:tc>
          <w:tcPr>
            <w:tcW w:w="1710" w:type="dxa"/>
            <w:hideMark/>
          </w:tcPr>
          <w:p w:rsidR="00080465" w:rsidRPr="001A26EA" w:rsidRDefault="00080465" w:rsidP="00080465">
            <w:r w:rsidRPr="001A26EA">
              <w:t>Human Rights Council Database</w:t>
            </w:r>
          </w:p>
        </w:tc>
      </w:tr>
      <w:tr w:rsidR="00080465" w:rsidRPr="00A430CF" w:rsidTr="00080465">
        <w:trPr>
          <w:trHeight w:val="915"/>
        </w:trPr>
        <w:tc>
          <w:tcPr>
            <w:tcW w:w="804" w:type="dxa"/>
            <w:vMerge/>
            <w:shd w:val="clear" w:color="auto" w:fill="auto"/>
            <w:noWrap/>
            <w:hideMark/>
          </w:tcPr>
          <w:p w:rsidR="00080465" w:rsidRPr="001A26EA" w:rsidRDefault="00080465" w:rsidP="00080465"/>
        </w:tc>
        <w:tc>
          <w:tcPr>
            <w:tcW w:w="3303" w:type="dxa"/>
            <w:gridSpan w:val="3"/>
            <w:vMerge/>
            <w:shd w:val="clear" w:color="auto" w:fill="D9D9D9"/>
            <w:hideMark/>
          </w:tcPr>
          <w:p w:rsidR="00080465" w:rsidRPr="001A26EA" w:rsidRDefault="00080465" w:rsidP="00080465"/>
        </w:tc>
        <w:tc>
          <w:tcPr>
            <w:tcW w:w="3434" w:type="dxa"/>
            <w:gridSpan w:val="3"/>
            <w:hideMark/>
          </w:tcPr>
          <w:p w:rsidR="00080465" w:rsidRPr="001A26EA" w:rsidRDefault="00080465" w:rsidP="00080465">
            <w:r w:rsidRPr="001A26EA">
              <w:t>Outcome 3 indicator 3</w:t>
            </w:r>
            <w:r>
              <w:t xml:space="preserve">: </w:t>
            </w:r>
            <w:r w:rsidRPr="0066557A">
              <w:t>Percentage of women</w:t>
            </w:r>
            <w:r>
              <w:t xml:space="preserve"> </w:t>
            </w:r>
            <w:r w:rsidRPr="0066557A">
              <w:t>aged 15–49 who think that a husband/partner is justified in hitting or beating his wife/partner under certain circumstances</w:t>
            </w:r>
          </w:p>
        </w:tc>
        <w:tc>
          <w:tcPr>
            <w:tcW w:w="1020" w:type="dxa"/>
            <w:gridSpan w:val="2"/>
            <w:hideMark/>
          </w:tcPr>
          <w:p w:rsidR="00080465" w:rsidRPr="001A26EA" w:rsidRDefault="00080465" w:rsidP="00080465">
            <w:r w:rsidRPr="001A26EA">
              <w:t>47%</w:t>
            </w:r>
          </w:p>
        </w:tc>
        <w:tc>
          <w:tcPr>
            <w:tcW w:w="751" w:type="dxa"/>
            <w:hideMark/>
          </w:tcPr>
          <w:p w:rsidR="00080465" w:rsidRPr="001A26EA" w:rsidRDefault="00080465" w:rsidP="00080465">
            <w:r w:rsidRPr="001A26EA">
              <w:t> </w:t>
            </w:r>
          </w:p>
        </w:tc>
        <w:tc>
          <w:tcPr>
            <w:tcW w:w="886" w:type="dxa"/>
            <w:hideMark/>
          </w:tcPr>
          <w:p w:rsidR="00080465" w:rsidRPr="001A26EA" w:rsidRDefault="00080465" w:rsidP="00080465">
            <w:r w:rsidRPr="001A26EA">
              <w:t>42%</w:t>
            </w:r>
          </w:p>
        </w:tc>
        <w:tc>
          <w:tcPr>
            <w:tcW w:w="886" w:type="dxa"/>
            <w:hideMark/>
          </w:tcPr>
          <w:p w:rsidR="00080465" w:rsidRPr="001A26EA" w:rsidRDefault="00080465" w:rsidP="00080465">
            <w:r w:rsidRPr="001A26EA">
              <w:t> </w:t>
            </w:r>
          </w:p>
        </w:tc>
        <w:tc>
          <w:tcPr>
            <w:tcW w:w="886" w:type="dxa"/>
            <w:hideMark/>
          </w:tcPr>
          <w:p w:rsidR="00080465" w:rsidRPr="001A26EA" w:rsidRDefault="00080465" w:rsidP="00080465">
            <w:r w:rsidRPr="001A26EA">
              <w:t>40%</w:t>
            </w:r>
          </w:p>
        </w:tc>
        <w:tc>
          <w:tcPr>
            <w:tcW w:w="1710" w:type="dxa"/>
            <w:hideMark/>
          </w:tcPr>
          <w:p w:rsidR="00080465" w:rsidRPr="000E5B10" w:rsidRDefault="00080465" w:rsidP="00080465">
            <w:r>
              <w:t>UNFPA’s MDG5b+Info database</w:t>
            </w:r>
          </w:p>
        </w:tc>
      </w:tr>
      <w:tr w:rsidR="00080465" w:rsidRPr="001A26EA" w:rsidTr="00080465">
        <w:trPr>
          <w:trHeight w:val="77"/>
        </w:trPr>
        <w:tc>
          <w:tcPr>
            <w:tcW w:w="804" w:type="dxa"/>
            <w:vMerge/>
            <w:shd w:val="clear" w:color="auto" w:fill="auto"/>
            <w:noWrap/>
            <w:hideMark/>
          </w:tcPr>
          <w:p w:rsidR="00080465" w:rsidRPr="000E5B10" w:rsidRDefault="00080465" w:rsidP="00080465"/>
        </w:tc>
        <w:tc>
          <w:tcPr>
            <w:tcW w:w="840" w:type="dxa"/>
            <w:vMerge w:val="restart"/>
            <w:shd w:val="clear" w:color="auto" w:fill="auto"/>
            <w:noWrap/>
            <w:hideMark/>
          </w:tcPr>
          <w:p w:rsidR="00080465" w:rsidRPr="000E5B10" w:rsidRDefault="00080465" w:rsidP="00080465"/>
        </w:tc>
        <w:tc>
          <w:tcPr>
            <w:tcW w:w="2463" w:type="dxa"/>
            <w:gridSpan w:val="2"/>
            <w:vMerge w:val="restart"/>
            <w:shd w:val="clear" w:color="auto" w:fill="F2F2F2"/>
            <w:hideMark/>
          </w:tcPr>
          <w:p w:rsidR="00080465" w:rsidRPr="001A26EA" w:rsidRDefault="00080465" w:rsidP="00080465">
            <w:r w:rsidRPr="00F43D71">
              <w:rPr>
                <w:b/>
              </w:rPr>
              <w:t>Output 9:</w:t>
            </w:r>
            <w:r w:rsidRPr="001A26EA">
              <w:t xml:space="preserve"> Strengthened international and national protection systems for advancing reproductive rights, promoting gender equality and non-discrimination and addressing gender-based violence</w:t>
            </w:r>
          </w:p>
        </w:tc>
        <w:tc>
          <w:tcPr>
            <w:tcW w:w="3434" w:type="dxa"/>
            <w:gridSpan w:val="3"/>
            <w:hideMark/>
          </w:tcPr>
          <w:p w:rsidR="00080465" w:rsidRPr="001A26EA" w:rsidRDefault="00080465" w:rsidP="00080465">
            <w:r w:rsidRPr="001A26EA">
              <w:t>9.1: Number of countries in which a National Human Rights Institution has conducted a national inquiry concerning the exercise of reproductive rights and right to sexual and reproductive health</w:t>
            </w:r>
          </w:p>
        </w:tc>
        <w:tc>
          <w:tcPr>
            <w:tcW w:w="1020" w:type="dxa"/>
            <w:gridSpan w:val="2"/>
            <w:hideMark/>
          </w:tcPr>
          <w:p w:rsidR="00080465" w:rsidRPr="001A26EA" w:rsidRDefault="00080465" w:rsidP="00080465">
            <w:r w:rsidRPr="001A26EA">
              <w:t>1</w:t>
            </w:r>
          </w:p>
        </w:tc>
        <w:tc>
          <w:tcPr>
            <w:tcW w:w="751" w:type="dxa"/>
            <w:hideMark/>
          </w:tcPr>
          <w:p w:rsidR="00080465" w:rsidRPr="001A26EA" w:rsidRDefault="00080465" w:rsidP="00080465">
            <w:r w:rsidRPr="001A26EA">
              <w:t>4</w:t>
            </w:r>
          </w:p>
        </w:tc>
        <w:tc>
          <w:tcPr>
            <w:tcW w:w="886" w:type="dxa"/>
            <w:hideMark/>
          </w:tcPr>
          <w:p w:rsidR="00080465" w:rsidRPr="001A26EA" w:rsidRDefault="00080465" w:rsidP="00080465">
            <w:r w:rsidRPr="001A26EA">
              <w:t>9</w:t>
            </w:r>
          </w:p>
        </w:tc>
        <w:tc>
          <w:tcPr>
            <w:tcW w:w="886" w:type="dxa"/>
            <w:hideMark/>
          </w:tcPr>
          <w:p w:rsidR="00080465" w:rsidRPr="001A26EA" w:rsidRDefault="00080465" w:rsidP="00080465">
            <w:r w:rsidRPr="001A26EA">
              <w:t>14</w:t>
            </w:r>
          </w:p>
        </w:tc>
        <w:tc>
          <w:tcPr>
            <w:tcW w:w="886" w:type="dxa"/>
            <w:hideMark/>
          </w:tcPr>
          <w:p w:rsidR="00080465" w:rsidRPr="001A26EA" w:rsidRDefault="00080465" w:rsidP="00080465">
            <w:r w:rsidRPr="001A26EA">
              <w:t>19</w:t>
            </w:r>
          </w:p>
        </w:tc>
        <w:tc>
          <w:tcPr>
            <w:tcW w:w="1710" w:type="dxa"/>
            <w:hideMark/>
          </w:tcPr>
          <w:p w:rsidR="00080465" w:rsidRPr="001A26EA" w:rsidRDefault="00080465" w:rsidP="00080465">
            <w:r w:rsidRPr="001A26EA">
              <w:t>Country Office Annual Reports</w:t>
            </w:r>
          </w:p>
        </w:tc>
      </w:tr>
      <w:tr w:rsidR="00080465" w:rsidRPr="001A26EA" w:rsidTr="00080465">
        <w:trPr>
          <w:trHeight w:val="1070"/>
        </w:trPr>
        <w:tc>
          <w:tcPr>
            <w:tcW w:w="804" w:type="dxa"/>
            <w:vMerge/>
            <w:shd w:val="clear" w:color="auto" w:fill="auto"/>
            <w:noWrap/>
            <w:hideMark/>
          </w:tcPr>
          <w:p w:rsidR="00080465" w:rsidRPr="001A26EA" w:rsidRDefault="00080465" w:rsidP="00080465"/>
        </w:tc>
        <w:tc>
          <w:tcPr>
            <w:tcW w:w="840" w:type="dxa"/>
            <w:vMerge/>
            <w:shd w:val="clear" w:color="auto" w:fill="auto"/>
            <w:noWrap/>
            <w:hideMark/>
          </w:tcPr>
          <w:p w:rsidR="00080465" w:rsidRPr="001A26EA" w:rsidRDefault="00080465" w:rsidP="00080465"/>
        </w:tc>
        <w:tc>
          <w:tcPr>
            <w:tcW w:w="2463" w:type="dxa"/>
            <w:gridSpan w:val="2"/>
            <w:vMerge/>
            <w:shd w:val="clear" w:color="auto" w:fill="F2F2F2"/>
            <w:hideMark/>
          </w:tcPr>
          <w:p w:rsidR="00080465" w:rsidRPr="001A26EA" w:rsidRDefault="00080465" w:rsidP="00080465"/>
        </w:tc>
        <w:tc>
          <w:tcPr>
            <w:tcW w:w="3434" w:type="dxa"/>
            <w:gridSpan w:val="3"/>
            <w:hideMark/>
          </w:tcPr>
          <w:p w:rsidR="00080465" w:rsidRPr="001A26EA" w:rsidRDefault="00080465" w:rsidP="00080465">
            <w:r w:rsidRPr="001A26EA">
              <w:t>9.2: Number of countries with a functioning tracking and reporting system to follow up on the implementation of reproductive rights recommendations and obligations</w:t>
            </w:r>
          </w:p>
        </w:tc>
        <w:tc>
          <w:tcPr>
            <w:tcW w:w="1020" w:type="dxa"/>
            <w:gridSpan w:val="2"/>
            <w:hideMark/>
          </w:tcPr>
          <w:p w:rsidR="00080465" w:rsidRPr="001A26EA" w:rsidRDefault="00080465" w:rsidP="00080465">
            <w:r w:rsidRPr="001A26EA">
              <w:t>49</w:t>
            </w:r>
          </w:p>
        </w:tc>
        <w:tc>
          <w:tcPr>
            <w:tcW w:w="751" w:type="dxa"/>
            <w:hideMark/>
          </w:tcPr>
          <w:p w:rsidR="00080465" w:rsidRPr="001A26EA" w:rsidRDefault="00080465" w:rsidP="00080465">
            <w:r w:rsidRPr="001A26EA">
              <w:t>53</w:t>
            </w:r>
          </w:p>
        </w:tc>
        <w:tc>
          <w:tcPr>
            <w:tcW w:w="886" w:type="dxa"/>
            <w:hideMark/>
          </w:tcPr>
          <w:p w:rsidR="00080465" w:rsidRPr="001A26EA" w:rsidRDefault="00080465" w:rsidP="00080465">
            <w:r w:rsidRPr="001A26EA">
              <w:t>66</w:t>
            </w:r>
          </w:p>
        </w:tc>
        <w:tc>
          <w:tcPr>
            <w:tcW w:w="886" w:type="dxa"/>
            <w:hideMark/>
          </w:tcPr>
          <w:p w:rsidR="00080465" w:rsidRPr="001A26EA" w:rsidRDefault="00080465" w:rsidP="00080465">
            <w:r w:rsidRPr="001A26EA">
              <w:t>75</w:t>
            </w:r>
          </w:p>
        </w:tc>
        <w:tc>
          <w:tcPr>
            <w:tcW w:w="886" w:type="dxa"/>
            <w:hideMark/>
          </w:tcPr>
          <w:p w:rsidR="00080465" w:rsidRPr="001A26EA" w:rsidRDefault="00080465" w:rsidP="00080465">
            <w:r w:rsidRPr="001A26EA">
              <w:t>88</w:t>
            </w:r>
          </w:p>
        </w:tc>
        <w:tc>
          <w:tcPr>
            <w:tcW w:w="1710" w:type="dxa"/>
            <w:hideMark/>
          </w:tcPr>
          <w:p w:rsidR="00080465" w:rsidRPr="001A26EA" w:rsidRDefault="00080465" w:rsidP="00080465">
            <w:r w:rsidRPr="001A26EA">
              <w:t>Country Office Annual Reports</w:t>
            </w:r>
          </w:p>
        </w:tc>
      </w:tr>
      <w:tr w:rsidR="00080465" w:rsidRPr="001A26EA" w:rsidTr="00080465">
        <w:trPr>
          <w:trHeight w:val="809"/>
        </w:trPr>
        <w:tc>
          <w:tcPr>
            <w:tcW w:w="804" w:type="dxa"/>
            <w:vMerge/>
            <w:shd w:val="clear" w:color="auto" w:fill="auto"/>
            <w:noWrap/>
            <w:hideMark/>
          </w:tcPr>
          <w:p w:rsidR="00080465" w:rsidRPr="001A26EA" w:rsidRDefault="00080465" w:rsidP="00080465"/>
        </w:tc>
        <w:tc>
          <w:tcPr>
            <w:tcW w:w="840" w:type="dxa"/>
            <w:vMerge/>
            <w:shd w:val="clear" w:color="auto" w:fill="auto"/>
            <w:noWrap/>
            <w:hideMark/>
          </w:tcPr>
          <w:p w:rsidR="00080465" w:rsidRPr="001A26EA" w:rsidRDefault="00080465" w:rsidP="00080465"/>
        </w:tc>
        <w:tc>
          <w:tcPr>
            <w:tcW w:w="2463" w:type="dxa"/>
            <w:gridSpan w:val="2"/>
            <w:vMerge w:val="restart"/>
            <w:shd w:val="clear" w:color="auto" w:fill="F2F2F2"/>
            <w:hideMark/>
          </w:tcPr>
          <w:p w:rsidR="00080465" w:rsidRPr="001A26EA" w:rsidRDefault="00080465" w:rsidP="00080465">
            <w:r w:rsidRPr="00F43D71">
              <w:rPr>
                <w:b/>
              </w:rPr>
              <w:t>Output 10:</w:t>
            </w:r>
            <w:r w:rsidRPr="001A26EA">
              <w:t xml:space="preserve"> </w:t>
            </w:r>
            <w:r>
              <w:t>Increased</w:t>
            </w:r>
            <w:r w:rsidRPr="001A26EA">
              <w:t xml:space="preserve"> capacity to prevent gender-based violence and harmful practices and</w:t>
            </w:r>
            <w:r>
              <w:t xml:space="preserve"> enable the delivery of multi</w:t>
            </w:r>
            <w:r w:rsidRPr="001A26EA">
              <w:t>sectoral services, including in humanitarian settings</w:t>
            </w:r>
          </w:p>
        </w:tc>
        <w:tc>
          <w:tcPr>
            <w:tcW w:w="3434" w:type="dxa"/>
            <w:gridSpan w:val="3"/>
            <w:hideMark/>
          </w:tcPr>
          <w:p w:rsidR="00080465" w:rsidRPr="001A26EA" w:rsidRDefault="00080465" w:rsidP="00080465">
            <w:r w:rsidRPr="001A26EA">
              <w:t>10.1</w:t>
            </w:r>
            <w:r>
              <w:t>:</w:t>
            </w:r>
            <w:r w:rsidRPr="001A26EA">
              <w:t xml:space="preserve"> Number of countries with gender-based violence prevention, protection and response integrated into national SRH programmes</w:t>
            </w:r>
          </w:p>
        </w:tc>
        <w:tc>
          <w:tcPr>
            <w:tcW w:w="1020" w:type="dxa"/>
            <w:gridSpan w:val="2"/>
            <w:hideMark/>
          </w:tcPr>
          <w:p w:rsidR="00080465" w:rsidRPr="001A26EA" w:rsidRDefault="00080465" w:rsidP="00080465">
            <w:r w:rsidRPr="001A26EA">
              <w:t>45</w:t>
            </w:r>
          </w:p>
        </w:tc>
        <w:tc>
          <w:tcPr>
            <w:tcW w:w="751" w:type="dxa"/>
            <w:hideMark/>
          </w:tcPr>
          <w:p w:rsidR="00080465" w:rsidRPr="001A26EA" w:rsidRDefault="00080465" w:rsidP="00080465">
            <w:r w:rsidRPr="001A26EA">
              <w:t>52</w:t>
            </w:r>
          </w:p>
        </w:tc>
        <w:tc>
          <w:tcPr>
            <w:tcW w:w="886" w:type="dxa"/>
            <w:hideMark/>
          </w:tcPr>
          <w:p w:rsidR="00080465" w:rsidRPr="001A26EA" w:rsidRDefault="00080465" w:rsidP="00080465">
            <w:r w:rsidRPr="001A26EA">
              <w:t>64</w:t>
            </w:r>
          </w:p>
        </w:tc>
        <w:tc>
          <w:tcPr>
            <w:tcW w:w="886" w:type="dxa"/>
            <w:hideMark/>
          </w:tcPr>
          <w:p w:rsidR="00080465" w:rsidRPr="001A26EA" w:rsidRDefault="00080465" w:rsidP="00080465">
            <w:r w:rsidRPr="001A26EA">
              <w:t>69</w:t>
            </w:r>
          </w:p>
        </w:tc>
        <w:tc>
          <w:tcPr>
            <w:tcW w:w="886" w:type="dxa"/>
            <w:hideMark/>
          </w:tcPr>
          <w:p w:rsidR="00080465" w:rsidRPr="001A26EA" w:rsidRDefault="00080465" w:rsidP="00080465">
            <w:r w:rsidRPr="001A26EA">
              <w:t>92</w:t>
            </w:r>
          </w:p>
        </w:tc>
        <w:tc>
          <w:tcPr>
            <w:tcW w:w="1710" w:type="dxa"/>
            <w:hideMark/>
          </w:tcPr>
          <w:p w:rsidR="00080465" w:rsidRPr="001A26EA" w:rsidRDefault="00080465" w:rsidP="00080465">
            <w:r w:rsidRPr="001A26EA">
              <w:t>Country Office Annual Reports</w:t>
            </w:r>
          </w:p>
        </w:tc>
      </w:tr>
      <w:tr w:rsidR="00080465" w:rsidRPr="001A26EA" w:rsidTr="00080465">
        <w:trPr>
          <w:trHeight w:val="1106"/>
        </w:trPr>
        <w:tc>
          <w:tcPr>
            <w:tcW w:w="804" w:type="dxa"/>
            <w:vMerge/>
            <w:shd w:val="clear" w:color="auto" w:fill="auto"/>
            <w:noWrap/>
            <w:hideMark/>
          </w:tcPr>
          <w:p w:rsidR="00080465" w:rsidRPr="001A26EA" w:rsidRDefault="00080465" w:rsidP="00080465"/>
        </w:tc>
        <w:tc>
          <w:tcPr>
            <w:tcW w:w="840" w:type="dxa"/>
            <w:vMerge/>
            <w:shd w:val="clear" w:color="auto" w:fill="auto"/>
            <w:noWrap/>
            <w:hideMark/>
          </w:tcPr>
          <w:p w:rsidR="00080465" w:rsidRPr="001A26EA" w:rsidRDefault="00080465" w:rsidP="00080465"/>
        </w:tc>
        <w:tc>
          <w:tcPr>
            <w:tcW w:w="2463" w:type="dxa"/>
            <w:gridSpan w:val="2"/>
            <w:vMerge/>
            <w:shd w:val="clear" w:color="auto" w:fill="F2F2F2"/>
            <w:hideMark/>
          </w:tcPr>
          <w:p w:rsidR="00080465" w:rsidRPr="001A26EA" w:rsidRDefault="00080465" w:rsidP="00080465"/>
        </w:tc>
        <w:tc>
          <w:tcPr>
            <w:tcW w:w="3434" w:type="dxa"/>
            <w:gridSpan w:val="3"/>
            <w:hideMark/>
          </w:tcPr>
          <w:p w:rsidR="00080465" w:rsidRPr="001A26EA" w:rsidRDefault="00080465" w:rsidP="00080465">
            <w:r w:rsidRPr="001A26EA">
              <w:t>10.2: Percentage of countries affected by a humanitarian crisis that have a functioning inter-agency gender-based violence coordination body as a result of UNFPA guidance and leadership</w:t>
            </w:r>
          </w:p>
        </w:tc>
        <w:tc>
          <w:tcPr>
            <w:tcW w:w="1020" w:type="dxa"/>
            <w:gridSpan w:val="2"/>
            <w:noWrap/>
            <w:hideMark/>
          </w:tcPr>
          <w:p w:rsidR="00080465" w:rsidRPr="001A26EA" w:rsidRDefault="00080465" w:rsidP="00080465">
            <w:r w:rsidRPr="001A26EA">
              <w:t>38%</w:t>
            </w:r>
          </w:p>
        </w:tc>
        <w:tc>
          <w:tcPr>
            <w:tcW w:w="751" w:type="dxa"/>
            <w:noWrap/>
            <w:hideMark/>
          </w:tcPr>
          <w:p w:rsidR="00080465" w:rsidRPr="001A26EA" w:rsidRDefault="00080465" w:rsidP="00080465">
            <w:r w:rsidRPr="001A26EA">
              <w:t>42%</w:t>
            </w:r>
          </w:p>
        </w:tc>
        <w:tc>
          <w:tcPr>
            <w:tcW w:w="886" w:type="dxa"/>
            <w:noWrap/>
            <w:hideMark/>
          </w:tcPr>
          <w:p w:rsidR="00080465" w:rsidRPr="001A26EA" w:rsidRDefault="00080465" w:rsidP="00080465">
            <w:r w:rsidRPr="001A26EA">
              <w:t>45%</w:t>
            </w:r>
          </w:p>
        </w:tc>
        <w:tc>
          <w:tcPr>
            <w:tcW w:w="886" w:type="dxa"/>
            <w:noWrap/>
            <w:hideMark/>
          </w:tcPr>
          <w:p w:rsidR="00080465" w:rsidRPr="001A26EA" w:rsidRDefault="00080465" w:rsidP="00080465">
            <w:r w:rsidRPr="001A26EA">
              <w:t>47%</w:t>
            </w:r>
          </w:p>
        </w:tc>
        <w:tc>
          <w:tcPr>
            <w:tcW w:w="886" w:type="dxa"/>
            <w:noWrap/>
            <w:hideMark/>
          </w:tcPr>
          <w:p w:rsidR="00080465" w:rsidRPr="001A26EA" w:rsidRDefault="00080465" w:rsidP="00080465">
            <w:r w:rsidRPr="001A26EA">
              <w:t>50%</w:t>
            </w:r>
          </w:p>
        </w:tc>
        <w:tc>
          <w:tcPr>
            <w:tcW w:w="1710" w:type="dxa"/>
            <w:hideMark/>
          </w:tcPr>
          <w:p w:rsidR="00080465" w:rsidRPr="001A26EA" w:rsidRDefault="00080465" w:rsidP="00080465">
            <w:r w:rsidRPr="001A26EA">
              <w:t>Country Office Annual Reports</w:t>
            </w:r>
          </w:p>
        </w:tc>
      </w:tr>
      <w:tr w:rsidR="00080465" w:rsidRPr="001A26EA" w:rsidTr="00080465">
        <w:trPr>
          <w:trHeight w:val="915"/>
        </w:trPr>
        <w:tc>
          <w:tcPr>
            <w:tcW w:w="804" w:type="dxa"/>
            <w:vMerge/>
            <w:shd w:val="clear" w:color="auto" w:fill="BFBFBF"/>
            <w:noWrap/>
            <w:hideMark/>
          </w:tcPr>
          <w:p w:rsidR="00080465" w:rsidRPr="001A26EA" w:rsidRDefault="00080465" w:rsidP="00080465"/>
        </w:tc>
        <w:tc>
          <w:tcPr>
            <w:tcW w:w="840" w:type="dxa"/>
            <w:vMerge/>
            <w:shd w:val="clear" w:color="auto" w:fill="D9D9D9"/>
            <w:noWrap/>
            <w:hideMark/>
          </w:tcPr>
          <w:p w:rsidR="00080465" w:rsidRPr="001A26EA" w:rsidRDefault="00080465" w:rsidP="00080465"/>
        </w:tc>
        <w:tc>
          <w:tcPr>
            <w:tcW w:w="2463" w:type="dxa"/>
            <w:gridSpan w:val="2"/>
            <w:vMerge/>
            <w:shd w:val="clear" w:color="auto" w:fill="F2F2F2"/>
            <w:hideMark/>
          </w:tcPr>
          <w:p w:rsidR="00080465" w:rsidRPr="001A26EA" w:rsidRDefault="00080465" w:rsidP="00080465"/>
        </w:tc>
        <w:tc>
          <w:tcPr>
            <w:tcW w:w="3434" w:type="dxa"/>
            <w:gridSpan w:val="3"/>
            <w:hideMark/>
          </w:tcPr>
          <w:p w:rsidR="00080465" w:rsidRPr="001A26EA" w:rsidRDefault="00080465" w:rsidP="00080465">
            <w:r w:rsidRPr="001A26EA">
              <w:t>10.3: Number of communities supported by UNFPA that declare the abandonment of female genital mutilation/cutting (FGM/C)</w:t>
            </w:r>
          </w:p>
        </w:tc>
        <w:tc>
          <w:tcPr>
            <w:tcW w:w="1020" w:type="dxa"/>
            <w:gridSpan w:val="2"/>
            <w:hideMark/>
          </w:tcPr>
          <w:p w:rsidR="00080465" w:rsidRPr="001A26EA" w:rsidRDefault="00080465" w:rsidP="00080465">
            <w:r w:rsidRPr="001A26EA">
              <w:t>1,367</w:t>
            </w:r>
          </w:p>
        </w:tc>
        <w:tc>
          <w:tcPr>
            <w:tcW w:w="751" w:type="dxa"/>
            <w:hideMark/>
          </w:tcPr>
          <w:p w:rsidR="00080465" w:rsidRPr="001A26EA" w:rsidRDefault="00080465" w:rsidP="00080465">
            <w:r w:rsidRPr="001A26EA">
              <w:t>1,800</w:t>
            </w:r>
          </w:p>
        </w:tc>
        <w:tc>
          <w:tcPr>
            <w:tcW w:w="886" w:type="dxa"/>
            <w:hideMark/>
          </w:tcPr>
          <w:p w:rsidR="00080465" w:rsidRPr="001A26EA" w:rsidRDefault="00080465" w:rsidP="00080465">
            <w:r w:rsidRPr="001A26EA">
              <w:t>2,000</w:t>
            </w:r>
          </w:p>
        </w:tc>
        <w:tc>
          <w:tcPr>
            <w:tcW w:w="886" w:type="dxa"/>
            <w:hideMark/>
          </w:tcPr>
          <w:p w:rsidR="00080465" w:rsidRPr="001A26EA" w:rsidRDefault="00080465" w:rsidP="00080465">
            <w:r w:rsidRPr="001A26EA">
              <w:t>2,200</w:t>
            </w:r>
          </w:p>
        </w:tc>
        <w:tc>
          <w:tcPr>
            <w:tcW w:w="886" w:type="dxa"/>
            <w:hideMark/>
          </w:tcPr>
          <w:p w:rsidR="00080465" w:rsidRPr="001A26EA" w:rsidRDefault="00080465" w:rsidP="00080465">
            <w:r w:rsidRPr="001A26EA">
              <w:t>2,500</w:t>
            </w:r>
          </w:p>
        </w:tc>
        <w:tc>
          <w:tcPr>
            <w:tcW w:w="1710" w:type="dxa"/>
            <w:hideMark/>
          </w:tcPr>
          <w:p w:rsidR="00080465" w:rsidRPr="001A26EA" w:rsidRDefault="00080465" w:rsidP="00080465">
            <w:r w:rsidRPr="001A26EA">
              <w:t>Country Office Annual Reports</w:t>
            </w:r>
          </w:p>
        </w:tc>
      </w:tr>
      <w:tr w:rsidR="00080465" w:rsidRPr="001A26EA" w:rsidTr="00080465">
        <w:trPr>
          <w:trHeight w:val="1268"/>
        </w:trPr>
        <w:tc>
          <w:tcPr>
            <w:tcW w:w="804" w:type="dxa"/>
            <w:vMerge/>
            <w:shd w:val="clear" w:color="auto" w:fill="BFBFBF"/>
            <w:noWrap/>
            <w:hideMark/>
          </w:tcPr>
          <w:p w:rsidR="00080465" w:rsidRPr="001A26EA" w:rsidRDefault="00080465" w:rsidP="00080465"/>
        </w:tc>
        <w:tc>
          <w:tcPr>
            <w:tcW w:w="840" w:type="dxa"/>
            <w:vMerge/>
            <w:shd w:val="clear" w:color="auto" w:fill="D9D9D9"/>
            <w:noWrap/>
            <w:hideMark/>
          </w:tcPr>
          <w:p w:rsidR="00080465" w:rsidRPr="001A26EA" w:rsidRDefault="00080465" w:rsidP="00080465"/>
        </w:tc>
        <w:tc>
          <w:tcPr>
            <w:tcW w:w="2463" w:type="dxa"/>
            <w:gridSpan w:val="2"/>
            <w:vMerge w:val="restart"/>
            <w:shd w:val="clear" w:color="auto" w:fill="F2F2F2"/>
            <w:hideMark/>
          </w:tcPr>
          <w:p w:rsidR="00080465" w:rsidRPr="001A26EA" w:rsidRDefault="00080465" w:rsidP="00080465">
            <w:r w:rsidRPr="00F43D71">
              <w:rPr>
                <w:b/>
              </w:rPr>
              <w:t>Output 11:</w:t>
            </w:r>
            <w:r w:rsidRPr="001A26EA">
              <w:t xml:space="preserve"> </w:t>
            </w:r>
            <w:r w:rsidRPr="008952DA">
              <w:t>Strengthened engagement of civil society organizations to promote reproductive rights and women's empowerment, and address discrimination, including of marginalized and vulnerable groups, people living with HIV and key populations</w:t>
            </w:r>
          </w:p>
        </w:tc>
        <w:tc>
          <w:tcPr>
            <w:tcW w:w="3434" w:type="dxa"/>
            <w:gridSpan w:val="3"/>
            <w:hideMark/>
          </w:tcPr>
          <w:p w:rsidR="00080465" w:rsidRPr="001A26EA" w:rsidRDefault="00080465" w:rsidP="00080465">
            <w:r w:rsidRPr="001A26EA">
              <w:t>11.1</w:t>
            </w:r>
            <w:r>
              <w:t>:</w:t>
            </w:r>
            <w:r w:rsidRPr="001A26EA">
              <w:t xml:space="preserve"> Number of countries in which civil society organizations have implemented accountability mechanisms for addressing the reproductive rights of women and girls and marginalized and key populations</w:t>
            </w:r>
          </w:p>
        </w:tc>
        <w:tc>
          <w:tcPr>
            <w:tcW w:w="1020" w:type="dxa"/>
            <w:gridSpan w:val="2"/>
            <w:hideMark/>
          </w:tcPr>
          <w:p w:rsidR="00080465" w:rsidRPr="001A26EA" w:rsidRDefault="00080465" w:rsidP="00080465">
            <w:r w:rsidRPr="001A26EA">
              <w:t>12</w:t>
            </w:r>
          </w:p>
        </w:tc>
        <w:tc>
          <w:tcPr>
            <w:tcW w:w="751" w:type="dxa"/>
            <w:hideMark/>
          </w:tcPr>
          <w:p w:rsidR="00080465" w:rsidRPr="001A26EA" w:rsidRDefault="00080465" w:rsidP="00080465">
            <w:r w:rsidRPr="001A26EA">
              <w:t>15</w:t>
            </w:r>
          </w:p>
        </w:tc>
        <w:tc>
          <w:tcPr>
            <w:tcW w:w="886" w:type="dxa"/>
            <w:hideMark/>
          </w:tcPr>
          <w:p w:rsidR="00080465" w:rsidRPr="001A26EA" w:rsidRDefault="00080465" w:rsidP="00080465">
            <w:r w:rsidRPr="001A26EA">
              <w:t>17</w:t>
            </w:r>
          </w:p>
        </w:tc>
        <w:tc>
          <w:tcPr>
            <w:tcW w:w="886" w:type="dxa"/>
            <w:hideMark/>
          </w:tcPr>
          <w:p w:rsidR="00080465" w:rsidRPr="001A26EA" w:rsidRDefault="00080465" w:rsidP="00080465">
            <w:r w:rsidRPr="001A26EA">
              <w:t>19</w:t>
            </w:r>
          </w:p>
        </w:tc>
        <w:tc>
          <w:tcPr>
            <w:tcW w:w="886" w:type="dxa"/>
            <w:hideMark/>
          </w:tcPr>
          <w:p w:rsidR="00080465" w:rsidRPr="001A26EA" w:rsidRDefault="00080465" w:rsidP="00080465">
            <w:r w:rsidRPr="001A26EA">
              <w:t>20</w:t>
            </w:r>
          </w:p>
        </w:tc>
        <w:tc>
          <w:tcPr>
            <w:tcW w:w="1710" w:type="dxa"/>
            <w:hideMark/>
          </w:tcPr>
          <w:p w:rsidR="00080465" w:rsidRPr="001A26EA" w:rsidRDefault="00080465" w:rsidP="00080465">
            <w:r w:rsidRPr="001A26EA">
              <w:t>Country Office Annual Reports</w:t>
            </w:r>
          </w:p>
        </w:tc>
      </w:tr>
      <w:tr w:rsidR="00080465" w:rsidRPr="001A26EA" w:rsidTr="00080465">
        <w:trPr>
          <w:trHeight w:val="259"/>
        </w:trPr>
        <w:tc>
          <w:tcPr>
            <w:tcW w:w="804" w:type="dxa"/>
            <w:vMerge/>
            <w:shd w:val="clear" w:color="auto" w:fill="BFBFBF"/>
            <w:noWrap/>
            <w:hideMark/>
          </w:tcPr>
          <w:p w:rsidR="00080465" w:rsidRPr="001A26EA" w:rsidRDefault="00080465" w:rsidP="00080465"/>
        </w:tc>
        <w:tc>
          <w:tcPr>
            <w:tcW w:w="840" w:type="dxa"/>
            <w:vMerge/>
            <w:shd w:val="clear" w:color="auto" w:fill="D9D9D9"/>
            <w:noWrap/>
            <w:hideMark/>
          </w:tcPr>
          <w:p w:rsidR="00080465" w:rsidRPr="001A26EA" w:rsidRDefault="00080465" w:rsidP="00080465"/>
        </w:tc>
        <w:tc>
          <w:tcPr>
            <w:tcW w:w="2463" w:type="dxa"/>
            <w:gridSpan w:val="2"/>
            <w:vMerge/>
            <w:shd w:val="clear" w:color="auto" w:fill="F2F2F2"/>
            <w:hideMark/>
          </w:tcPr>
          <w:p w:rsidR="00080465" w:rsidRPr="001A26EA" w:rsidRDefault="00080465" w:rsidP="00080465"/>
        </w:tc>
        <w:tc>
          <w:tcPr>
            <w:tcW w:w="3434" w:type="dxa"/>
            <w:gridSpan w:val="3"/>
            <w:hideMark/>
          </w:tcPr>
          <w:p w:rsidR="00080465" w:rsidRPr="001A26EA" w:rsidRDefault="00080465" w:rsidP="00080465">
            <w:r w:rsidRPr="001A26EA">
              <w:t>11.2: Number of countries in which civil society organizations have supported the institutionalization of programmes to engage men and boys o</w:t>
            </w:r>
            <w:r>
              <w:t xml:space="preserve">n gender equality (including gender-based </w:t>
            </w:r>
            <w:r>
              <w:lastRenderedPageBreak/>
              <w:t>violence</w:t>
            </w:r>
            <w:r w:rsidRPr="001A26EA">
              <w:t>), sexual and reproductive health and reproductive rights</w:t>
            </w:r>
          </w:p>
        </w:tc>
        <w:tc>
          <w:tcPr>
            <w:tcW w:w="1020" w:type="dxa"/>
            <w:gridSpan w:val="2"/>
            <w:hideMark/>
          </w:tcPr>
          <w:p w:rsidR="00080465" w:rsidRPr="001A26EA" w:rsidRDefault="00080465" w:rsidP="00080465">
            <w:r w:rsidRPr="001A26EA">
              <w:lastRenderedPageBreak/>
              <w:t>17</w:t>
            </w:r>
          </w:p>
        </w:tc>
        <w:tc>
          <w:tcPr>
            <w:tcW w:w="751" w:type="dxa"/>
            <w:hideMark/>
          </w:tcPr>
          <w:p w:rsidR="00080465" w:rsidRPr="001A26EA" w:rsidRDefault="00080465" w:rsidP="00080465">
            <w:r w:rsidRPr="001A26EA">
              <w:t>27</w:t>
            </w:r>
          </w:p>
        </w:tc>
        <w:tc>
          <w:tcPr>
            <w:tcW w:w="886" w:type="dxa"/>
            <w:hideMark/>
          </w:tcPr>
          <w:p w:rsidR="00080465" w:rsidRPr="001A26EA" w:rsidRDefault="00080465" w:rsidP="00080465">
            <w:r w:rsidRPr="001A26EA">
              <w:t>38</w:t>
            </w:r>
          </w:p>
        </w:tc>
        <w:tc>
          <w:tcPr>
            <w:tcW w:w="886" w:type="dxa"/>
            <w:hideMark/>
          </w:tcPr>
          <w:p w:rsidR="00080465" w:rsidRPr="001A26EA" w:rsidRDefault="00080465" w:rsidP="00080465">
            <w:r w:rsidRPr="001A26EA">
              <w:t>43</w:t>
            </w:r>
          </w:p>
        </w:tc>
        <w:tc>
          <w:tcPr>
            <w:tcW w:w="886" w:type="dxa"/>
            <w:hideMark/>
          </w:tcPr>
          <w:p w:rsidR="00080465" w:rsidRPr="001A26EA" w:rsidRDefault="00080465" w:rsidP="00080465">
            <w:r w:rsidRPr="001A26EA">
              <w:t>54</w:t>
            </w:r>
          </w:p>
        </w:tc>
        <w:tc>
          <w:tcPr>
            <w:tcW w:w="1710" w:type="dxa"/>
            <w:hideMark/>
          </w:tcPr>
          <w:p w:rsidR="00080465" w:rsidRPr="001A26EA" w:rsidRDefault="00080465" w:rsidP="00080465">
            <w:r w:rsidRPr="001A26EA">
              <w:t>Country Office Annual Reports</w:t>
            </w:r>
          </w:p>
        </w:tc>
      </w:tr>
      <w:tr w:rsidR="00080465" w:rsidRPr="001A26EA" w:rsidTr="00080465">
        <w:trPr>
          <w:trHeight w:val="1097"/>
        </w:trPr>
        <w:tc>
          <w:tcPr>
            <w:tcW w:w="804" w:type="dxa"/>
            <w:vMerge/>
            <w:tcBorders>
              <w:bottom w:val="nil"/>
            </w:tcBorders>
            <w:shd w:val="clear" w:color="auto" w:fill="BFBFBF"/>
            <w:noWrap/>
            <w:hideMark/>
          </w:tcPr>
          <w:p w:rsidR="00080465" w:rsidRPr="001A26EA" w:rsidRDefault="00080465" w:rsidP="00080465"/>
        </w:tc>
        <w:tc>
          <w:tcPr>
            <w:tcW w:w="3303" w:type="dxa"/>
            <w:gridSpan w:val="3"/>
            <w:vMerge w:val="restart"/>
            <w:shd w:val="clear" w:color="auto" w:fill="D9D9D9"/>
            <w:hideMark/>
          </w:tcPr>
          <w:p w:rsidR="00080465" w:rsidRPr="001A26EA" w:rsidRDefault="00080465" w:rsidP="00080465">
            <w:r w:rsidRPr="00F43D71">
              <w:rPr>
                <w:b/>
              </w:rPr>
              <w:t>Outcome 4:</w:t>
            </w:r>
            <w:r w:rsidRPr="001A26EA">
              <w:t xml:space="preserve"> Strengthened national policies and international development agendas through integration of evidence-based analysis on population dynamics and their links to sustainable development, sexual and reproductive health and reproductive rights, HIV and gender equality</w:t>
            </w:r>
          </w:p>
        </w:tc>
        <w:tc>
          <w:tcPr>
            <w:tcW w:w="3434" w:type="dxa"/>
            <w:gridSpan w:val="3"/>
            <w:hideMark/>
          </w:tcPr>
          <w:p w:rsidR="00080465" w:rsidRPr="001A26EA" w:rsidRDefault="00080465" w:rsidP="00080465">
            <w:r w:rsidRPr="001A26EA">
              <w:t>Outcome 4 indicator 1: Number of countries that had at least one census of good quality that was processed, analysed and disseminated following internationally agreed recommendations (during the last 10 years)</w:t>
            </w:r>
          </w:p>
        </w:tc>
        <w:tc>
          <w:tcPr>
            <w:tcW w:w="1020" w:type="dxa"/>
            <w:gridSpan w:val="2"/>
            <w:hideMark/>
          </w:tcPr>
          <w:p w:rsidR="00080465" w:rsidRPr="001A26EA" w:rsidRDefault="00080465" w:rsidP="00080465">
            <w:r w:rsidRPr="001A26EA">
              <w:t>66</w:t>
            </w:r>
          </w:p>
        </w:tc>
        <w:tc>
          <w:tcPr>
            <w:tcW w:w="751" w:type="dxa"/>
          </w:tcPr>
          <w:p w:rsidR="00080465" w:rsidRPr="001A26EA" w:rsidRDefault="00080465" w:rsidP="00080465"/>
        </w:tc>
        <w:tc>
          <w:tcPr>
            <w:tcW w:w="886" w:type="dxa"/>
            <w:hideMark/>
          </w:tcPr>
          <w:p w:rsidR="00080465" w:rsidRPr="001A26EA" w:rsidRDefault="00080465" w:rsidP="00080465">
            <w:r w:rsidRPr="001A26EA">
              <w:t>112</w:t>
            </w:r>
          </w:p>
        </w:tc>
        <w:tc>
          <w:tcPr>
            <w:tcW w:w="886" w:type="dxa"/>
          </w:tcPr>
          <w:p w:rsidR="00080465" w:rsidRPr="001A26EA" w:rsidRDefault="00080465" w:rsidP="00080465"/>
        </w:tc>
        <w:tc>
          <w:tcPr>
            <w:tcW w:w="886" w:type="dxa"/>
            <w:hideMark/>
          </w:tcPr>
          <w:p w:rsidR="00080465" w:rsidRPr="001A26EA" w:rsidRDefault="00080465" w:rsidP="00080465">
            <w:r w:rsidRPr="001A26EA">
              <w:t>117</w:t>
            </w:r>
          </w:p>
        </w:tc>
        <w:tc>
          <w:tcPr>
            <w:tcW w:w="1710" w:type="dxa"/>
            <w:hideMark/>
          </w:tcPr>
          <w:p w:rsidR="00080465" w:rsidRPr="001A26EA" w:rsidRDefault="00080465" w:rsidP="00080465">
            <w:r w:rsidRPr="001A26EA">
              <w:t>Country Office Annual Reports</w:t>
            </w:r>
          </w:p>
        </w:tc>
      </w:tr>
      <w:tr w:rsidR="00080465" w:rsidRPr="001A26EA" w:rsidTr="00080465">
        <w:trPr>
          <w:trHeight w:val="1200"/>
        </w:trPr>
        <w:tc>
          <w:tcPr>
            <w:tcW w:w="804" w:type="dxa"/>
            <w:vMerge/>
            <w:shd w:val="clear" w:color="auto" w:fill="auto"/>
            <w:noWrap/>
          </w:tcPr>
          <w:p w:rsidR="00080465" w:rsidRPr="001A26EA" w:rsidRDefault="00080465" w:rsidP="00080465"/>
        </w:tc>
        <w:tc>
          <w:tcPr>
            <w:tcW w:w="3303" w:type="dxa"/>
            <w:gridSpan w:val="3"/>
            <w:vMerge/>
            <w:shd w:val="clear" w:color="auto" w:fill="D9D9D9"/>
          </w:tcPr>
          <w:p w:rsidR="00080465" w:rsidRPr="001A26EA" w:rsidRDefault="00080465" w:rsidP="00080465"/>
        </w:tc>
        <w:tc>
          <w:tcPr>
            <w:tcW w:w="3434" w:type="dxa"/>
            <w:gridSpan w:val="3"/>
          </w:tcPr>
          <w:p w:rsidR="00080465" w:rsidRPr="001A26EA" w:rsidRDefault="00080465" w:rsidP="00080465">
            <w:r w:rsidRPr="00C51D3B">
              <w:t>Outcome 4 indicator 2: Number of countries that have collected, analysed and disseminated a national household survey that allows for th</w:t>
            </w:r>
            <w:r>
              <w:t xml:space="preserve">e estimation of key population and </w:t>
            </w:r>
            <w:r w:rsidRPr="00C51D3B">
              <w:t>reproductive health indicators (in the last 5 years)</w:t>
            </w:r>
          </w:p>
        </w:tc>
        <w:tc>
          <w:tcPr>
            <w:tcW w:w="1020" w:type="dxa"/>
            <w:gridSpan w:val="2"/>
          </w:tcPr>
          <w:p w:rsidR="00080465" w:rsidRPr="001A26EA" w:rsidRDefault="00080465" w:rsidP="00080465">
            <w:r>
              <w:t>69</w:t>
            </w:r>
          </w:p>
        </w:tc>
        <w:tc>
          <w:tcPr>
            <w:tcW w:w="751" w:type="dxa"/>
          </w:tcPr>
          <w:p w:rsidR="00080465" w:rsidRPr="001A26EA" w:rsidRDefault="00080465" w:rsidP="00080465"/>
        </w:tc>
        <w:tc>
          <w:tcPr>
            <w:tcW w:w="886" w:type="dxa"/>
          </w:tcPr>
          <w:p w:rsidR="00080465" w:rsidRPr="001A26EA" w:rsidRDefault="00080465" w:rsidP="00080465">
            <w:r>
              <w:t>95</w:t>
            </w:r>
          </w:p>
        </w:tc>
        <w:tc>
          <w:tcPr>
            <w:tcW w:w="886" w:type="dxa"/>
          </w:tcPr>
          <w:p w:rsidR="00080465" w:rsidRPr="001A26EA" w:rsidRDefault="00080465" w:rsidP="00080465"/>
        </w:tc>
        <w:tc>
          <w:tcPr>
            <w:tcW w:w="886" w:type="dxa"/>
          </w:tcPr>
          <w:p w:rsidR="00080465" w:rsidRPr="001A26EA" w:rsidRDefault="00080465" w:rsidP="00080465">
            <w:r>
              <w:t>110</w:t>
            </w:r>
          </w:p>
        </w:tc>
        <w:tc>
          <w:tcPr>
            <w:tcW w:w="1710" w:type="dxa"/>
          </w:tcPr>
          <w:p w:rsidR="00080465" w:rsidRPr="001A26EA" w:rsidRDefault="00080465" w:rsidP="00080465">
            <w:r w:rsidRPr="001A26EA">
              <w:t>Country Office Annual Reports</w:t>
            </w:r>
          </w:p>
        </w:tc>
      </w:tr>
      <w:tr w:rsidR="00080465" w:rsidRPr="001A26EA" w:rsidTr="00080465">
        <w:trPr>
          <w:trHeight w:val="1133"/>
        </w:trPr>
        <w:tc>
          <w:tcPr>
            <w:tcW w:w="804" w:type="dxa"/>
            <w:vMerge/>
            <w:shd w:val="clear" w:color="auto" w:fill="auto"/>
            <w:noWrap/>
            <w:hideMark/>
          </w:tcPr>
          <w:p w:rsidR="00080465" w:rsidRPr="001A26EA" w:rsidRDefault="00080465" w:rsidP="00080465"/>
        </w:tc>
        <w:tc>
          <w:tcPr>
            <w:tcW w:w="3303" w:type="dxa"/>
            <w:gridSpan w:val="3"/>
            <w:vMerge/>
            <w:shd w:val="clear" w:color="auto" w:fill="D9D9D9"/>
            <w:hideMark/>
          </w:tcPr>
          <w:p w:rsidR="00080465" w:rsidRPr="001A26EA" w:rsidRDefault="00080465" w:rsidP="00080465"/>
        </w:tc>
        <w:tc>
          <w:tcPr>
            <w:tcW w:w="3434" w:type="dxa"/>
            <w:gridSpan w:val="3"/>
            <w:hideMark/>
          </w:tcPr>
          <w:p w:rsidR="00080465" w:rsidRPr="001A26EA" w:rsidRDefault="00080465" w:rsidP="00080465">
            <w:r w:rsidRPr="001A26EA">
              <w:t>Outcome 4 indicator 3: Number of countries that have completed evaluations on strategic interventions around sexual and reproductive health and adolescent and youth</w:t>
            </w:r>
          </w:p>
        </w:tc>
        <w:tc>
          <w:tcPr>
            <w:tcW w:w="1020" w:type="dxa"/>
            <w:gridSpan w:val="2"/>
            <w:hideMark/>
          </w:tcPr>
          <w:p w:rsidR="00080465" w:rsidRPr="001A26EA" w:rsidRDefault="00080465" w:rsidP="00080465">
            <w:r w:rsidRPr="001A26EA">
              <w:t>26</w:t>
            </w:r>
          </w:p>
        </w:tc>
        <w:tc>
          <w:tcPr>
            <w:tcW w:w="751" w:type="dxa"/>
          </w:tcPr>
          <w:p w:rsidR="00080465" w:rsidRPr="001A26EA" w:rsidRDefault="00080465" w:rsidP="00080465"/>
        </w:tc>
        <w:tc>
          <w:tcPr>
            <w:tcW w:w="886" w:type="dxa"/>
            <w:hideMark/>
          </w:tcPr>
          <w:p w:rsidR="00080465" w:rsidRPr="001A26EA" w:rsidRDefault="00080465" w:rsidP="00080465">
            <w:r w:rsidRPr="001A26EA">
              <w:t>68</w:t>
            </w:r>
          </w:p>
        </w:tc>
        <w:tc>
          <w:tcPr>
            <w:tcW w:w="886" w:type="dxa"/>
          </w:tcPr>
          <w:p w:rsidR="00080465" w:rsidRPr="001A26EA" w:rsidRDefault="00080465" w:rsidP="00080465"/>
        </w:tc>
        <w:tc>
          <w:tcPr>
            <w:tcW w:w="886" w:type="dxa"/>
            <w:hideMark/>
          </w:tcPr>
          <w:p w:rsidR="00080465" w:rsidRPr="001A26EA" w:rsidRDefault="00080465" w:rsidP="00080465">
            <w:r w:rsidRPr="001A26EA">
              <w:t>108</w:t>
            </w:r>
          </w:p>
        </w:tc>
        <w:tc>
          <w:tcPr>
            <w:tcW w:w="1710" w:type="dxa"/>
            <w:hideMark/>
          </w:tcPr>
          <w:p w:rsidR="00080465" w:rsidRPr="001A26EA" w:rsidRDefault="00080465" w:rsidP="00080465">
            <w:r w:rsidRPr="001A26EA">
              <w:t>Country Office Annual Reports</w:t>
            </w:r>
          </w:p>
        </w:tc>
      </w:tr>
      <w:tr w:rsidR="00080465" w:rsidRPr="001A26EA" w:rsidTr="00080465">
        <w:trPr>
          <w:trHeight w:val="125"/>
        </w:trPr>
        <w:tc>
          <w:tcPr>
            <w:tcW w:w="804" w:type="dxa"/>
            <w:vMerge/>
            <w:shd w:val="clear" w:color="auto" w:fill="auto"/>
            <w:noWrap/>
          </w:tcPr>
          <w:p w:rsidR="00080465" w:rsidRPr="001A26EA" w:rsidRDefault="00080465" w:rsidP="00080465"/>
        </w:tc>
        <w:tc>
          <w:tcPr>
            <w:tcW w:w="3303" w:type="dxa"/>
            <w:gridSpan w:val="3"/>
            <w:vMerge/>
            <w:shd w:val="clear" w:color="auto" w:fill="D9D9D9"/>
          </w:tcPr>
          <w:p w:rsidR="00080465" w:rsidRPr="001A26EA" w:rsidRDefault="00080465" w:rsidP="00080465"/>
        </w:tc>
        <w:tc>
          <w:tcPr>
            <w:tcW w:w="3434" w:type="dxa"/>
            <w:gridSpan w:val="3"/>
          </w:tcPr>
          <w:p w:rsidR="00080465" w:rsidRPr="000F7346" w:rsidRDefault="00080465" w:rsidP="00080465">
            <w:r w:rsidRPr="000F7346">
              <w:t xml:space="preserve">Outcome 4 indicator </w:t>
            </w:r>
            <w:r>
              <w:t>4</w:t>
            </w:r>
            <w:r w:rsidRPr="000F7346">
              <w:t xml:space="preserve">: </w:t>
            </w:r>
            <w:r>
              <w:t>Proportion of outcome documents of high-level global and regional intergovernmental meetings that address sexual and reproductive health, reproductive rights, gender equality, the needs of adolescents and youth, and population dynamics</w:t>
            </w:r>
          </w:p>
        </w:tc>
        <w:tc>
          <w:tcPr>
            <w:tcW w:w="1020" w:type="dxa"/>
            <w:gridSpan w:val="2"/>
          </w:tcPr>
          <w:p w:rsidR="00080465" w:rsidRPr="000F7346" w:rsidRDefault="00080465" w:rsidP="00080465">
            <w:pPr>
              <w:rPr>
                <w:iCs/>
              </w:rPr>
            </w:pPr>
            <w:r>
              <w:rPr>
                <w:iCs/>
              </w:rPr>
              <w:t>Not available</w:t>
            </w:r>
          </w:p>
        </w:tc>
        <w:tc>
          <w:tcPr>
            <w:tcW w:w="751" w:type="dxa"/>
          </w:tcPr>
          <w:p w:rsidR="00080465" w:rsidRPr="000F7346" w:rsidRDefault="00080465" w:rsidP="00080465">
            <w:pPr>
              <w:rPr>
                <w:iCs/>
              </w:rPr>
            </w:pPr>
          </w:p>
        </w:tc>
        <w:tc>
          <w:tcPr>
            <w:tcW w:w="886" w:type="dxa"/>
          </w:tcPr>
          <w:p w:rsidR="00080465" w:rsidRPr="000F7346" w:rsidRDefault="00080465" w:rsidP="00080465">
            <w:pPr>
              <w:rPr>
                <w:iCs/>
              </w:rPr>
            </w:pPr>
            <w:r>
              <w:rPr>
                <w:iCs/>
              </w:rPr>
              <w:t>90%</w:t>
            </w:r>
          </w:p>
        </w:tc>
        <w:tc>
          <w:tcPr>
            <w:tcW w:w="886" w:type="dxa"/>
          </w:tcPr>
          <w:p w:rsidR="00080465" w:rsidRPr="000F7346" w:rsidRDefault="00080465" w:rsidP="00080465">
            <w:pPr>
              <w:rPr>
                <w:iCs/>
              </w:rPr>
            </w:pPr>
          </w:p>
        </w:tc>
        <w:tc>
          <w:tcPr>
            <w:tcW w:w="886" w:type="dxa"/>
          </w:tcPr>
          <w:p w:rsidR="00080465" w:rsidRPr="000F7346" w:rsidRDefault="00080465" w:rsidP="00080465">
            <w:pPr>
              <w:rPr>
                <w:iCs/>
              </w:rPr>
            </w:pPr>
            <w:r>
              <w:rPr>
                <w:iCs/>
              </w:rPr>
              <w:t>90%</w:t>
            </w:r>
          </w:p>
        </w:tc>
        <w:tc>
          <w:tcPr>
            <w:tcW w:w="1710" w:type="dxa"/>
          </w:tcPr>
          <w:p w:rsidR="00080465" w:rsidRPr="001A26EA" w:rsidRDefault="00080465" w:rsidP="00080465">
            <w:r w:rsidRPr="001A26EA">
              <w:t>Regional Office and HQ Annual Reports</w:t>
            </w:r>
          </w:p>
        </w:tc>
      </w:tr>
      <w:tr w:rsidR="00080465" w:rsidRPr="001A26EA" w:rsidTr="00080465">
        <w:trPr>
          <w:trHeight w:val="1340"/>
        </w:trPr>
        <w:tc>
          <w:tcPr>
            <w:tcW w:w="804" w:type="dxa"/>
            <w:vMerge/>
            <w:shd w:val="clear" w:color="auto" w:fill="auto"/>
            <w:noWrap/>
            <w:hideMark/>
          </w:tcPr>
          <w:p w:rsidR="00080465" w:rsidRPr="001A26EA" w:rsidRDefault="00080465" w:rsidP="00080465"/>
        </w:tc>
        <w:tc>
          <w:tcPr>
            <w:tcW w:w="3303" w:type="dxa"/>
            <w:gridSpan w:val="3"/>
            <w:vMerge/>
            <w:shd w:val="clear" w:color="auto" w:fill="D9D9D9"/>
            <w:hideMark/>
          </w:tcPr>
          <w:p w:rsidR="00080465" w:rsidRPr="001A26EA" w:rsidRDefault="00080465" w:rsidP="00080465"/>
        </w:tc>
        <w:tc>
          <w:tcPr>
            <w:tcW w:w="3434" w:type="dxa"/>
            <w:gridSpan w:val="3"/>
            <w:hideMark/>
          </w:tcPr>
          <w:p w:rsidR="00080465" w:rsidRPr="000F7346" w:rsidRDefault="00080465" w:rsidP="00080465">
            <w:r>
              <w:t>Outcome 4 indicator 5</w:t>
            </w:r>
            <w:r w:rsidRPr="000F7346">
              <w:t xml:space="preserve">: </w:t>
            </w:r>
            <w:r w:rsidRPr="009A03E2">
              <w:t xml:space="preserve">Proportion of new national development plans </w:t>
            </w:r>
            <w:r>
              <w:t>that</w:t>
            </w:r>
            <w:r w:rsidRPr="009A03E2">
              <w:t xml:space="preserve"> address population dynamics by accounting for population trends and projections in setting development targets</w:t>
            </w:r>
          </w:p>
        </w:tc>
        <w:tc>
          <w:tcPr>
            <w:tcW w:w="1020" w:type="dxa"/>
            <w:gridSpan w:val="2"/>
            <w:hideMark/>
          </w:tcPr>
          <w:p w:rsidR="00080465" w:rsidRPr="000F7346" w:rsidRDefault="00080465" w:rsidP="00080465">
            <w:pPr>
              <w:rPr>
                <w:iCs/>
              </w:rPr>
            </w:pPr>
            <w:r>
              <w:rPr>
                <w:iCs/>
              </w:rPr>
              <w:t>Not applicable</w:t>
            </w:r>
          </w:p>
        </w:tc>
        <w:tc>
          <w:tcPr>
            <w:tcW w:w="751" w:type="dxa"/>
            <w:hideMark/>
          </w:tcPr>
          <w:p w:rsidR="00080465" w:rsidRPr="000F7346" w:rsidRDefault="00080465" w:rsidP="00080465">
            <w:pPr>
              <w:rPr>
                <w:iCs/>
              </w:rPr>
            </w:pPr>
          </w:p>
        </w:tc>
        <w:tc>
          <w:tcPr>
            <w:tcW w:w="886" w:type="dxa"/>
            <w:hideMark/>
          </w:tcPr>
          <w:p w:rsidR="00080465" w:rsidRPr="000F7346" w:rsidRDefault="00080465" w:rsidP="00080465">
            <w:pPr>
              <w:rPr>
                <w:iCs/>
              </w:rPr>
            </w:pPr>
            <w:r>
              <w:rPr>
                <w:iCs/>
              </w:rPr>
              <w:t>70%</w:t>
            </w:r>
          </w:p>
        </w:tc>
        <w:tc>
          <w:tcPr>
            <w:tcW w:w="886" w:type="dxa"/>
            <w:hideMark/>
          </w:tcPr>
          <w:p w:rsidR="00080465" w:rsidRPr="000F7346" w:rsidRDefault="00080465" w:rsidP="00080465">
            <w:pPr>
              <w:rPr>
                <w:iCs/>
              </w:rPr>
            </w:pPr>
          </w:p>
        </w:tc>
        <w:tc>
          <w:tcPr>
            <w:tcW w:w="886" w:type="dxa"/>
            <w:hideMark/>
          </w:tcPr>
          <w:p w:rsidR="00080465" w:rsidRPr="000F7346" w:rsidRDefault="00080465" w:rsidP="00080465">
            <w:pPr>
              <w:rPr>
                <w:iCs/>
              </w:rPr>
            </w:pPr>
            <w:r>
              <w:rPr>
                <w:iCs/>
              </w:rPr>
              <w:t>70%</w:t>
            </w:r>
          </w:p>
        </w:tc>
        <w:tc>
          <w:tcPr>
            <w:tcW w:w="1710" w:type="dxa"/>
            <w:hideMark/>
          </w:tcPr>
          <w:p w:rsidR="00080465" w:rsidRPr="001A26EA" w:rsidRDefault="00080465" w:rsidP="00080465">
            <w:r w:rsidRPr="001A26EA">
              <w:t>Country Office Annual Reports</w:t>
            </w:r>
          </w:p>
        </w:tc>
      </w:tr>
      <w:tr w:rsidR="00080465" w:rsidRPr="001A26EA" w:rsidTr="00080465">
        <w:trPr>
          <w:trHeight w:val="692"/>
        </w:trPr>
        <w:tc>
          <w:tcPr>
            <w:tcW w:w="804" w:type="dxa"/>
            <w:vMerge/>
            <w:shd w:val="clear" w:color="auto" w:fill="auto"/>
            <w:noWrap/>
            <w:hideMark/>
          </w:tcPr>
          <w:p w:rsidR="00080465" w:rsidRPr="001A26EA" w:rsidRDefault="00080465" w:rsidP="00080465"/>
        </w:tc>
        <w:tc>
          <w:tcPr>
            <w:tcW w:w="840" w:type="dxa"/>
            <w:vMerge w:val="restart"/>
            <w:shd w:val="clear" w:color="auto" w:fill="auto"/>
            <w:noWrap/>
            <w:hideMark/>
          </w:tcPr>
          <w:p w:rsidR="00080465" w:rsidRPr="001A26EA" w:rsidRDefault="00080465" w:rsidP="00080465"/>
        </w:tc>
        <w:tc>
          <w:tcPr>
            <w:tcW w:w="2463" w:type="dxa"/>
            <w:gridSpan w:val="2"/>
            <w:vMerge w:val="restart"/>
            <w:shd w:val="clear" w:color="auto" w:fill="F2F2F2"/>
            <w:hideMark/>
          </w:tcPr>
          <w:p w:rsidR="00080465" w:rsidRPr="001A26EA" w:rsidRDefault="00080465" w:rsidP="00080465">
            <w:r w:rsidRPr="00F43D71">
              <w:rPr>
                <w:b/>
              </w:rPr>
              <w:t>Output 12:</w:t>
            </w:r>
            <w:r w:rsidRPr="001A26EA">
              <w:t xml:space="preserve"> Strengthened national capacity for production and dissemination of quality disaggregated data on population and development </w:t>
            </w:r>
            <w:r w:rsidRPr="001A26EA">
              <w:lastRenderedPageBreak/>
              <w:t>issues that allows for mapping of demographic disparities and socio-economic inequalities, and for programming in humanitarian settings</w:t>
            </w:r>
          </w:p>
        </w:tc>
        <w:tc>
          <w:tcPr>
            <w:tcW w:w="3434" w:type="dxa"/>
            <w:gridSpan w:val="3"/>
            <w:hideMark/>
          </w:tcPr>
          <w:p w:rsidR="00080465" w:rsidRPr="001A26EA" w:rsidRDefault="00080465" w:rsidP="00080465">
            <w:r w:rsidRPr="001A26EA">
              <w:lastRenderedPageBreak/>
              <w:t>12.1: Proportion of countries experiencing a humanitarian crisis situation in which UNFPA provided technical assistance on the use of population-related data and support for assessments</w:t>
            </w:r>
          </w:p>
        </w:tc>
        <w:tc>
          <w:tcPr>
            <w:tcW w:w="1020" w:type="dxa"/>
            <w:gridSpan w:val="2"/>
            <w:hideMark/>
          </w:tcPr>
          <w:p w:rsidR="00080465" w:rsidRPr="001A26EA" w:rsidRDefault="00080465" w:rsidP="00080465">
            <w:r w:rsidRPr="001A26EA">
              <w:t>65%</w:t>
            </w:r>
          </w:p>
        </w:tc>
        <w:tc>
          <w:tcPr>
            <w:tcW w:w="751" w:type="dxa"/>
            <w:hideMark/>
          </w:tcPr>
          <w:p w:rsidR="00080465" w:rsidRPr="001A26EA" w:rsidRDefault="00080465" w:rsidP="00080465">
            <w:r w:rsidRPr="001A26EA">
              <w:t>67%</w:t>
            </w:r>
          </w:p>
        </w:tc>
        <w:tc>
          <w:tcPr>
            <w:tcW w:w="886" w:type="dxa"/>
            <w:hideMark/>
          </w:tcPr>
          <w:p w:rsidR="00080465" w:rsidRPr="001A26EA" w:rsidRDefault="00080465" w:rsidP="00080465">
            <w:r w:rsidRPr="001A26EA">
              <w:t>70%</w:t>
            </w:r>
          </w:p>
        </w:tc>
        <w:tc>
          <w:tcPr>
            <w:tcW w:w="886" w:type="dxa"/>
            <w:hideMark/>
          </w:tcPr>
          <w:p w:rsidR="00080465" w:rsidRPr="001A26EA" w:rsidRDefault="00080465" w:rsidP="00080465">
            <w:r w:rsidRPr="001A26EA">
              <w:t>75%</w:t>
            </w:r>
          </w:p>
        </w:tc>
        <w:tc>
          <w:tcPr>
            <w:tcW w:w="886" w:type="dxa"/>
            <w:hideMark/>
          </w:tcPr>
          <w:p w:rsidR="00080465" w:rsidRPr="001A26EA" w:rsidRDefault="00080465" w:rsidP="00080465">
            <w:r w:rsidRPr="001A26EA">
              <w:t>80%</w:t>
            </w:r>
          </w:p>
        </w:tc>
        <w:tc>
          <w:tcPr>
            <w:tcW w:w="1710" w:type="dxa"/>
            <w:hideMark/>
          </w:tcPr>
          <w:p w:rsidR="00080465" w:rsidRPr="001A26EA" w:rsidRDefault="00080465" w:rsidP="00080465">
            <w:r w:rsidRPr="001A26EA">
              <w:t>Country Office Annual Reports</w:t>
            </w:r>
          </w:p>
        </w:tc>
      </w:tr>
      <w:tr w:rsidR="00080465" w:rsidRPr="001A26EA" w:rsidTr="00080465">
        <w:trPr>
          <w:trHeight w:val="917"/>
        </w:trPr>
        <w:tc>
          <w:tcPr>
            <w:tcW w:w="804" w:type="dxa"/>
            <w:vMerge/>
            <w:shd w:val="clear" w:color="auto" w:fill="auto"/>
            <w:noWrap/>
            <w:hideMark/>
          </w:tcPr>
          <w:p w:rsidR="00080465" w:rsidRPr="001A26EA" w:rsidRDefault="00080465" w:rsidP="00080465"/>
        </w:tc>
        <w:tc>
          <w:tcPr>
            <w:tcW w:w="840" w:type="dxa"/>
            <w:vMerge/>
            <w:shd w:val="clear" w:color="auto" w:fill="auto"/>
            <w:noWrap/>
            <w:hideMark/>
          </w:tcPr>
          <w:p w:rsidR="00080465" w:rsidRPr="001A26EA" w:rsidRDefault="00080465" w:rsidP="00080465"/>
        </w:tc>
        <w:tc>
          <w:tcPr>
            <w:tcW w:w="2463" w:type="dxa"/>
            <w:gridSpan w:val="2"/>
            <w:vMerge/>
            <w:shd w:val="clear" w:color="auto" w:fill="F2F2F2"/>
            <w:hideMark/>
          </w:tcPr>
          <w:p w:rsidR="00080465" w:rsidRPr="001A26EA" w:rsidRDefault="00080465" w:rsidP="00080465"/>
        </w:tc>
        <w:tc>
          <w:tcPr>
            <w:tcW w:w="3434" w:type="dxa"/>
            <w:gridSpan w:val="3"/>
            <w:hideMark/>
          </w:tcPr>
          <w:p w:rsidR="00080465" w:rsidRPr="001A26EA" w:rsidRDefault="00080465" w:rsidP="00080465">
            <w:r w:rsidRPr="001A26EA">
              <w:t>12.2: Number of databases with population-based data accessible by users through web-based platforms that facilitate mapping of socio-economic and demographic inequalities</w:t>
            </w:r>
          </w:p>
        </w:tc>
        <w:tc>
          <w:tcPr>
            <w:tcW w:w="1020" w:type="dxa"/>
            <w:gridSpan w:val="2"/>
            <w:hideMark/>
          </w:tcPr>
          <w:p w:rsidR="00080465" w:rsidRPr="001A26EA" w:rsidRDefault="00080465" w:rsidP="00080465">
            <w:r w:rsidRPr="001A26EA">
              <w:t>173</w:t>
            </w:r>
          </w:p>
        </w:tc>
        <w:tc>
          <w:tcPr>
            <w:tcW w:w="751" w:type="dxa"/>
            <w:hideMark/>
          </w:tcPr>
          <w:p w:rsidR="00080465" w:rsidRPr="001A26EA" w:rsidRDefault="00080465" w:rsidP="00080465">
            <w:r w:rsidRPr="001A26EA">
              <w:t>299</w:t>
            </w:r>
          </w:p>
        </w:tc>
        <w:tc>
          <w:tcPr>
            <w:tcW w:w="886" w:type="dxa"/>
            <w:hideMark/>
          </w:tcPr>
          <w:p w:rsidR="00080465" w:rsidRPr="001A26EA" w:rsidRDefault="00080465" w:rsidP="00080465">
            <w:r w:rsidRPr="001A26EA">
              <w:t>362</w:t>
            </w:r>
          </w:p>
        </w:tc>
        <w:tc>
          <w:tcPr>
            <w:tcW w:w="886" w:type="dxa"/>
            <w:hideMark/>
          </w:tcPr>
          <w:p w:rsidR="00080465" w:rsidRPr="001A26EA" w:rsidRDefault="00080465" w:rsidP="00080465">
            <w:r w:rsidRPr="001A26EA">
              <w:t>419</w:t>
            </w:r>
          </w:p>
        </w:tc>
        <w:tc>
          <w:tcPr>
            <w:tcW w:w="886" w:type="dxa"/>
            <w:hideMark/>
          </w:tcPr>
          <w:p w:rsidR="00080465" w:rsidRPr="001A26EA" w:rsidRDefault="00080465" w:rsidP="00080465">
            <w:r w:rsidRPr="001A26EA">
              <w:t>474</w:t>
            </w:r>
          </w:p>
        </w:tc>
        <w:tc>
          <w:tcPr>
            <w:tcW w:w="1710" w:type="dxa"/>
            <w:hideMark/>
          </w:tcPr>
          <w:p w:rsidR="00080465" w:rsidRPr="001A26EA" w:rsidRDefault="00080465" w:rsidP="00080465">
            <w:r w:rsidRPr="001A26EA">
              <w:t>Country Office Annual Reports</w:t>
            </w:r>
          </w:p>
        </w:tc>
      </w:tr>
      <w:tr w:rsidR="00080465" w:rsidRPr="001A26EA" w:rsidTr="00080465">
        <w:trPr>
          <w:trHeight w:val="1340"/>
        </w:trPr>
        <w:tc>
          <w:tcPr>
            <w:tcW w:w="804" w:type="dxa"/>
            <w:vMerge/>
            <w:shd w:val="clear" w:color="auto" w:fill="auto"/>
            <w:noWrap/>
            <w:hideMark/>
          </w:tcPr>
          <w:p w:rsidR="00080465" w:rsidRPr="001A26EA" w:rsidRDefault="00080465" w:rsidP="00080465"/>
        </w:tc>
        <w:tc>
          <w:tcPr>
            <w:tcW w:w="840" w:type="dxa"/>
            <w:vMerge/>
            <w:shd w:val="clear" w:color="auto" w:fill="auto"/>
            <w:noWrap/>
            <w:hideMark/>
          </w:tcPr>
          <w:p w:rsidR="00080465" w:rsidRPr="001A26EA" w:rsidRDefault="00080465" w:rsidP="00080465"/>
        </w:tc>
        <w:tc>
          <w:tcPr>
            <w:tcW w:w="2463" w:type="dxa"/>
            <w:gridSpan w:val="2"/>
            <w:vMerge w:val="restart"/>
            <w:shd w:val="clear" w:color="auto" w:fill="F2F2F2"/>
            <w:hideMark/>
          </w:tcPr>
          <w:p w:rsidR="00080465" w:rsidRPr="001A26EA" w:rsidRDefault="00080465" w:rsidP="00080465">
            <w:r w:rsidRPr="00F43D71">
              <w:rPr>
                <w:b/>
              </w:rPr>
              <w:t>Output 13:</w:t>
            </w:r>
            <w:r w:rsidRPr="001A26EA">
              <w:t xml:space="preserve"> </w:t>
            </w:r>
            <w:r w:rsidRPr="00741866">
              <w:t>Increased availability of evidence through cutting-edge in-depth analysis on population dynamics, sexual and reproductive health, HIV and their linkages to poverty eradication and sustainable development</w:t>
            </w:r>
          </w:p>
        </w:tc>
        <w:tc>
          <w:tcPr>
            <w:tcW w:w="3434" w:type="dxa"/>
            <w:gridSpan w:val="3"/>
            <w:hideMark/>
          </w:tcPr>
          <w:p w:rsidR="00080465" w:rsidRPr="001A26EA" w:rsidRDefault="00080465" w:rsidP="00080465">
            <w:r w:rsidRPr="001A26EA">
              <w:t>13.1</w:t>
            </w:r>
            <w:r>
              <w:t>:</w:t>
            </w:r>
            <w:r w:rsidRPr="001A26EA">
              <w:t xml:space="preserve"> </w:t>
            </w:r>
            <w:r w:rsidRPr="009A03E2">
              <w:t>Proportion of reports of global and regional intergovernmental and inter-agency processes that are supported by UNFPA and ad</w:t>
            </w:r>
            <w:r>
              <w:t>dress population dynamics by ac</w:t>
            </w:r>
            <w:r w:rsidRPr="009A03E2">
              <w:t>c</w:t>
            </w:r>
            <w:r>
              <w:t>o</w:t>
            </w:r>
            <w:r w:rsidRPr="009A03E2">
              <w:t>unting for population trends and projections in setting development targets</w:t>
            </w:r>
          </w:p>
        </w:tc>
        <w:tc>
          <w:tcPr>
            <w:tcW w:w="1020" w:type="dxa"/>
            <w:gridSpan w:val="2"/>
            <w:hideMark/>
          </w:tcPr>
          <w:p w:rsidR="00080465" w:rsidRPr="009527A4" w:rsidRDefault="00080465" w:rsidP="00080465">
            <w:pPr>
              <w:rPr>
                <w:iCs/>
              </w:rPr>
            </w:pPr>
            <w:r w:rsidRPr="009527A4">
              <w:rPr>
                <w:iCs/>
              </w:rPr>
              <w:t>Not available</w:t>
            </w:r>
          </w:p>
        </w:tc>
        <w:tc>
          <w:tcPr>
            <w:tcW w:w="751" w:type="dxa"/>
          </w:tcPr>
          <w:p w:rsidR="00080465" w:rsidRPr="009527A4" w:rsidRDefault="00080465" w:rsidP="00080465">
            <w:pPr>
              <w:rPr>
                <w:iCs/>
              </w:rPr>
            </w:pPr>
            <w:r w:rsidRPr="009527A4">
              <w:rPr>
                <w:iCs/>
              </w:rPr>
              <w:t>80%</w:t>
            </w:r>
          </w:p>
        </w:tc>
        <w:tc>
          <w:tcPr>
            <w:tcW w:w="886" w:type="dxa"/>
          </w:tcPr>
          <w:p w:rsidR="00080465" w:rsidRPr="009527A4" w:rsidRDefault="00080465" w:rsidP="00080465">
            <w:pPr>
              <w:rPr>
                <w:iCs/>
              </w:rPr>
            </w:pPr>
            <w:r w:rsidRPr="009527A4">
              <w:rPr>
                <w:iCs/>
              </w:rPr>
              <w:t>80%</w:t>
            </w:r>
          </w:p>
        </w:tc>
        <w:tc>
          <w:tcPr>
            <w:tcW w:w="886" w:type="dxa"/>
          </w:tcPr>
          <w:p w:rsidR="00080465" w:rsidRPr="009527A4" w:rsidRDefault="00080465" w:rsidP="00080465">
            <w:pPr>
              <w:rPr>
                <w:iCs/>
              </w:rPr>
            </w:pPr>
            <w:r w:rsidRPr="009527A4">
              <w:rPr>
                <w:iCs/>
              </w:rPr>
              <w:t>80%</w:t>
            </w:r>
          </w:p>
        </w:tc>
        <w:tc>
          <w:tcPr>
            <w:tcW w:w="886" w:type="dxa"/>
          </w:tcPr>
          <w:p w:rsidR="00080465" w:rsidRPr="009527A4" w:rsidRDefault="00080465" w:rsidP="00080465">
            <w:pPr>
              <w:rPr>
                <w:iCs/>
              </w:rPr>
            </w:pPr>
            <w:r w:rsidRPr="009527A4">
              <w:rPr>
                <w:iCs/>
              </w:rPr>
              <w:t>80%</w:t>
            </w:r>
          </w:p>
        </w:tc>
        <w:tc>
          <w:tcPr>
            <w:tcW w:w="1710" w:type="dxa"/>
            <w:hideMark/>
          </w:tcPr>
          <w:p w:rsidR="00080465" w:rsidRPr="001A26EA" w:rsidRDefault="00080465" w:rsidP="00080465">
            <w:r w:rsidRPr="001A26EA">
              <w:t>Regional Office and HQ Annual Reports</w:t>
            </w:r>
          </w:p>
        </w:tc>
      </w:tr>
      <w:tr w:rsidR="00080465" w:rsidRPr="001A26EA" w:rsidTr="00080465">
        <w:trPr>
          <w:trHeight w:val="1115"/>
        </w:trPr>
        <w:tc>
          <w:tcPr>
            <w:tcW w:w="804" w:type="dxa"/>
            <w:vMerge/>
            <w:shd w:val="clear" w:color="auto" w:fill="auto"/>
            <w:noWrap/>
            <w:hideMark/>
          </w:tcPr>
          <w:p w:rsidR="00080465" w:rsidRPr="001A26EA" w:rsidRDefault="00080465" w:rsidP="00080465"/>
        </w:tc>
        <w:tc>
          <w:tcPr>
            <w:tcW w:w="840" w:type="dxa"/>
            <w:vMerge/>
            <w:shd w:val="clear" w:color="auto" w:fill="auto"/>
            <w:noWrap/>
            <w:hideMark/>
          </w:tcPr>
          <w:p w:rsidR="00080465" w:rsidRPr="001A26EA" w:rsidRDefault="00080465" w:rsidP="00080465"/>
        </w:tc>
        <w:tc>
          <w:tcPr>
            <w:tcW w:w="2463" w:type="dxa"/>
            <w:gridSpan w:val="2"/>
            <w:vMerge/>
            <w:shd w:val="clear" w:color="auto" w:fill="F2F2F2"/>
            <w:hideMark/>
          </w:tcPr>
          <w:p w:rsidR="00080465" w:rsidRPr="001A26EA" w:rsidRDefault="00080465" w:rsidP="00080465"/>
        </w:tc>
        <w:tc>
          <w:tcPr>
            <w:tcW w:w="3434" w:type="dxa"/>
            <w:gridSpan w:val="3"/>
            <w:hideMark/>
          </w:tcPr>
          <w:p w:rsidR="00080465" w:rsidRPr="001A26EA" w:rsidRDefault="00080465" w:rsidP="00080465">
            <w:r w:rsidRPr="001A26EA">
              <w:t>13.2</w:t>
            </w:r>
            <w:r>
              <w:t>:</w:t>
            </w:r>
            <w:r w:rsidRPr="001A26EA">
              <w:t xml:space="preserve"> Number of tools developed at the global and regional level to make pos</w:t>
            </w:r>
            <w:r>
              <w:t>sible the incorporation of key</w:t>
            </w:r>
            <w:r w:rsidRPr="001A26EA">
              <w:t xml:space="preserve"> findings in the implementation of the post-2015 development agenda</w:t>
            </w:r>
          </w:p>
        </w:tc>
        <w:tc>
          <w:tcPr>
            <w:tcW w:w="1020" w:type="dxa"/>
            <w:gridSpan w:val="2"/>
            <w:hideMark/>
          </w:tcPr>
          <w:p w:rsidR="00080465" w:rsidRPr="00AF305B" w:rsidRDefault="00080465" w:rsidP="00080465">
            <w:pPr>
              <w:rPr>
                <w:iCs/>
              </w:rPr>
            </w:pPr>
            <w:r w:rsidRPr="00AF305B">
              <w:rPr>
                <w:iCs/>
              </w:rPr>
              <w:t>0</w:t>
            </w:r>
          </w:p>
        </w:tc>
        <w:tc>
          <w:tcPr>
            <w:tcW w:w="751" w:type="dxa"/>
            <w:hideMark/>
          </w:tcPr>
          <w:p w:rsidR="00080465" w:rsidRPr="00AF305B" w:rsidRDefault="00080465" w:rsidP="00080465">
            <w:pPr>
              <w:rPr>
                <w:iCs/>
              </w:rPr>
            </w:pPr>
            <w:r w:rsidRPr="00AF305B">
              <w:rPr>
                <w:iCs/>
              </w:rPr>
              <w:t>2</w:t>
            </w:r>
          </w:p>
        </w:tc>
        <w:tc>
          <w:tcPr>
            <w:tcW w:w="886" w:type="dxa"/>
            <w:hideMark/>
          </w:tcPr>
          <w:p w:rsidR="00080465" w:rsidRPr="00AF305B" w:rsidRDefault="00080465" w:rsidP="00080465">
            <w:pPr>
              <w:rPr>
                <w:iCs/>
              </w:rPr>
            </w:pPr>
            <w:r w:rsidRPr="00AF305B">
              <w:rPr>
                <w:iCs/>
              </w:rPr>
              <w:t>2</w:t>
            </w:r>
          </w:p>
        </w:tc>
        <w:tc>
          <w:tcPr>
            <w:tcW w:w="886" w:type="dxa"/>
            <w:hideMark/>
          </w:tcPr>
          <w:p w:rsidR="00080465" w:rsidRPr="00AF305B" w:rsidRDefault="00080465" w:rsidP="00080465">
            <w:pPr>
              <w:rPr>
                <w:iCs/>
              </w:rPr>
            </w:pPr>
            <w:r w:rsidRPr="00AF305B">
              <w:rPr>
                <w:iCs/>
              </w:rPr>
              <w:t>4</w:t>
            </w:r>
          </w:p>
        </w:tc>
        <w:tc>
          <w:tcPr>
            <w:tcW w:w="886" w:type="dxa"/>
            <w:hideMark/>
          </w:tcPr>
          <w:p w:rsidR="00080465" w:rsidRPr="00AF305B" w:rsidRDefault="00080465" w:rsidP="00080465">
            <w:pPr>
              <w:rPr>
                <w:iCs/>
              </w:rPr>
            </w:pPr>
            <w:r w:rsidRPr="00AF305B">
              <w:rPr>
                <w:iCs/>
              </w:rPr>
              <w:t>4</w:t>
            </w:r>
          </w:p>
        </w:tc>
        <w:tc>
          <w:tcPr>
            <w:tcW w:w="1710" w:type="dxa"/>
            <w:hideMark/>
          </w:tcPr>
          <w:p w:rsidR="00080465" w:rsidRPr="001A26EA" w:rsidRDefault="00080465" w:rsidP="00080465">
            <w:r w:rsidRPr="001A26EA">
              <w:t>Regional Office  and HQ Annual Reports</w:t>
            </w:r>
          </w:p>
        </w:tc>
      </w:tr>
      <w:tr w:rsidR="00080465" w:rsidRPr="001A26EA" w:rsidTr="00080465">
        <w:trPr>
          <w:trHeight w:val="242"/>
        </w:trPr>
        <w:tc>
          <w:tcPr>
            <w:tcW w:w="804" w:type="dxa"/>
            <w:vMerge/>
            <w:tcBorders>
              <w:bottom w:val="nil"/>
            </w:tcBorders>
            <w:shd w:val="clear" w:color="auto" w:fill="auto"/>
            <w:noWrap/>
            <w:hideMark/>
          </w:tcPr>
          <w:p w:rsidR="00080465" w:rsidRPr="001A26EA" w:rsidRDefault="00080465" w:rsidP="00080465"/>
        </w:tc>
        <w:tc>
          <w:tcPr>
            <w:tcW w:w="840" w:type="dxa"/>
            <w:vMerge/>
            <w:shd w:val="clear" w:color="auto" w:fill="auto"/>
            <w:noWrap/>
            <w:hideMark/>
          </w:tcPr>
          <w:p w:rsidR="00080465" w:rsidRPr="001A26EA" w:rsidRDefault="00080465" w:rsidP="00080465"/>
        </w:tc>
        <w:tc>
          <w:tcPr>
            <w:tcW w:w="2463" w:type="dxa"/>
            <w:gridSpan w:val="2"/>
            <w:vMerge/>
            <w:shd w:val="clear" w:color="auto" w:fill="F2F2F2"/>
            <w:hideMark/>
          </w:tcPr>
          <w:p w:rsidR="00080465" w:rsidRPr="001A26EA" w:rsidRDefault="00080465" w:rsidP="00080465"/>
        </w:tc>
        <w:tc>
          <w:tcPr>
            <w:tcW w:w="3434" w:type="dxa"/>
            <w:gridSpan w:val="3"/>
            <w:hideMark/>
          </w:tcPr>
          <w:p w:rsidR="00080465" w:rsidRPr="001A26EA" w:rsidRDefault="00080465" w:rsidP="00080465">
            <w:r w:rsidRPr="001A26EA">
              <w:t xml:space="preserve">13.3: Number of countries in which the national statistical authorities have institutional capacity to analyse </w:t>
            </w:r>
            <w:r>
              <w:t xml:space="preserve">and use </w:t>
            </w:r>
            <w:r w:rsidRPr="001A26EA">
              <w:t xml:space="preserve">disaggregated data </w:t>
            </w:r>
            <w:r>
              <w:t>on</w:t>
            </w:r>
            <w:r w:rsidRPr="001A26EA">
              <w:t xml:space="preserve"> a) </w:t>
            </w:r>
            <w:r>
              <w:t xml:space="preserve">adolescents and </w:t>
            </w:r>
            <w:r w:rsidRPr="001A26EA">
              <w:t>youth and b) gender</w:t>
            </w:r>
            <w:r>
              <w:t>-</w:t>
            </w:r>
            <w:r w:rsidRPr="001A26EA">
              <w:t xml:space="preserve">based violence </w:t>
            </w:r>
          </w:p>
        </w:tc>
        <w:tc>
          <w:tcPr>
            <w:tcW w:w="1020" w:type="dxa"/>
            <w:gridSpan w:val="2"/>
            <w:hideMark/>
          </w:tcPr>
          <w:p w:rsidR="00080465" w:rsidRPr="001A26EA" w:rsidRDefault="00080465" w:rsidP="00080465">
            <w:r w:rsidRPr="001A26EA">
              <w:t>a) 69</w:t>
            </w:r>
            <w:r w:rsidRPr="001A26EA">
              <w:br/>
            </w:r>
            <w:r w:rsidRPr="001A26EA">
              <w:br/>
              <w:t xml:space="preserve">b)  </w:t>
            </w:r>
            <w:r>
              <w:t>0</w:t>
            </w:r>
            <w:r w:rsidRPr="001A26EA">
              <w:t xml:space="preserve"> </w:t>
            </w:r>
          </w:p>
        </w:tc>
        <w:tc>
          <w:tcPr>
            <w:tcW w:w="751" w:type="dxa"/>
            <w:hideMark/>
          </w:tcPr>
          <w:p w:rsidR="00080465" w:rsidRPr="001A26EA" w:rsidRDefault="00080465" w:rsidP="00080465">
            <w:r w:rsidRPr="001A26EA">
              <w:t>a) 86</w:t>
            </w:r>
            <w:r w:rsidRPr="001A26EA">
              <w:br/>
            </w:r>
            <w:r w:rsidRPr="001A26EA">
              <w:br/>
            </w:r>
            <w:r w:rsidRPr="000F7346">
              <w:t xml:space="preserve">b) </w:t>
            </w:r>
            <w:r>
              <w:t>5</w:t>
            </w:r>
          </w:p>
        </w:tc>
        <w:tc>
          <w:tcPr>
            <w:tcW w:w="886" w:type="dxa"/>
            <w:hideMark/>
          </w:tcPr>
          <w:p w:rsidR="00080465" w:rsidRPr="001A26EA" w:rsidRDefault="00080465" w:rsidP="00080465">
            <w:r w:rsidRPr="001A26EA">
              <w:t>a) 101</w:t>
            </w:r>
            <w:r w:rsidRPr="001A26EA">
              <w:br/>
            </w:r>
            <w:r w:rsidRPr="001A26EA">
              <w:br/>
            </w:r>
            <w:r w:rsidRPr="000F7346">
              <w:t xml:space="preserve">b) </w:t>
            </w:r>
            <w:r>
              <w:t>10</w:t>
            </w:r>
          </w:p>
        </w:tc>
        <w:tc>
          <w:tcPr>
            <w:tcW w:w="886" w:type="dxa"/>
            <w:hideMark/>
          </w:tcPr>
          <w:p w:rsidR="00080465" w:rsidRPr="000F7346" w:rsidRDefault="00080465" w:rsidP="00080465">
            <w:r w:rsidRPr="000F7346">
              <w:t>a) 110</w:t>
            </w:r>
            <w:r w:rsidRPr="000F7346">
              <w:br/>
            </w:r>
            <w:r w:rsidRPr="000F7346">
              <w:br/>
              <w:t xml:space="preserve">b) </w:t>
            </w:r>
            <w:r>
              <w:t>15</w:t>
            </w:r>
          </w:p>
        </w:tc>
        <w:tc>
          <w:tcPr>
            <w:tcW w:w="886" w:type="dxa"/>
            <w:hideMark/>
          </w:tcPr>
          <w:p w:rsidR="00080465" w:rsidRPr="000F7346" w:rsidRDefault="00080465" w:rsidP="00080465">
            <w:r w:rsidRPr="000F7346">
              <w:t>a) 117</w:t>
            </w:r>
            <w:r w:rsidRPr="000F7346">
              <w:br/>
            </w:r>
            <w:r w:rsidRPr="000F7346">
              <w:br/>
              <w:t xml:space="preserve">b) </w:t>
            </w:r>
            <w:r>
              <w:t>20</w:t>
            </w:r>
          </w:p>
        </w:tc>
        <w:tc>
          <w:tcPr>
            <w:tcW w:w="1710" w:type="dxa"/>
            <w:hideMark/>
          </w:tcPr>
          <w:p w:rsidR="00080465" w:rsidRPr="001A26EA" w:rsidRDefault="00080465" w:rsidP="00080465">
            <w:r w:rsidRPr="001A26EA">
              <w:t>Country Office Annual Reports</w:t>
            </w:r>
          </w:p>
        </w:tc>
      </w:tr>
      <w:tr w:rsidR="00080465" w:rsidRPr="001A26EA" w:rsidTr="00080465">
        <w:trPr>
          <w:trHeight w:val="152"/>
        </w:trPr>
        <w:tc>
          <w:tcPr>
            <w:tcW w:w="804" w:type="dxa"/>
            <w:tcBorders>
              <w:top w:val="nil"/>
              <w:bottom w:val="nil"/>
            </w:tcBorders>
            <w:shd w:val="clear" w:color="auto" w:fill="auto"/>
            <w:noWrap/>
            <w:hideMark/>
          </w:tcPr>
          <w:p w:rsidR="00080465" w:rsidRPr="001A26EA" w:rsidRDefault="00080465" w:rsidP="00080465"/>
        </w:tc>
        <w:tc>
          <w:tcPr>
            <w:tcW w:w="840" w:type="dxa"/>
            <w:vMerge/>
            <w:tcBorders>
              <w:bottom w:val="nil"/>
            </w:tcBorders>
            <w:shd w:val="clear" w:color="auto" w:fill="auto"/>
          </w:tcPr>
          <w:p w:rsidR="00080465" w:rsidRPr="001A26EA" w:rsidRDefault="00080465" w:rsidP="00080465"/>
        </w:tc>
        <w:tc>
          <w:tcPr>
            <w:tcW w:w="2463" w:type="dxa"/>
            <w:gridSpan w:val="2"/>
            <w:shd w:val="clear" w:color="auto" w:fill="F2F2F2"/>
            <w:hideMark/>
          </w:tcPr>
          <w:p w:rsidR="00080465" w:rsidRPr="001A26EA" w:rsidRDefault="00080465" w:rsidP="00080465">
            <w:r w:rsidRPr="00F43D71">
              <w:rPr>
                <w:b/>
              </w:rPr>
              <w:t>Output 14:</w:t>
            </w:r>
            <w:r w:rsidRPr="001A26EA">
              <w:t xml:space="preserve"> Strengthened capacity for the formulation and implementation of rights-based policies (global, regional and country) that integrate evidence on population dynamics, sexual and reproductive health, HIV, and their links to sustainable development</w:t>
            </w:r>
          </w:p>
        </w:tc>
        <w:tc>
          <w:tcPr>
            <w:tcW w:w="3434" w:type="dxa"/>
            <w:gridSpan w:val="3"/>
            <w:hideMark/>
          </w:tcPr>
          <w:p w:rsidR="00080465" w:rsidRPr="001A26EA" w:rsidRDefault="00080465" w:rsidP="00080465">
            <w:r w:rsidRPr="001A26EA">
              <w:t>14.1: Number of countries that have implemented the population situation analysis (PSA) to identify priorities and formulate policies and programmes</w:t>
            </w:r>
          </w:p>
        </w:tc>
        <w:tc>
          <w:tcPr>
            <w:tcW w:w="1020" w:type="dxa"/>
            <w:gridSpan w:val="2"/>
            <w:hideMark/>
          </w:tcPr>
          <w:p w:rsidR="00080465" w:rsidRPr="001A26EA" w:rsidRDefault="00080465" w:rsidP="00080465">
            <w:r>
              <w:t>15</w:t>
            </w:r>
          </w:p>
        </w:tc>
        <w:tc>
          <w:tcPr>
            <w:tcW w:w="751" w:type="dxa"/>
            <w:hideMark/>
          </w:tcPr>
          <w:p w:rsidR="00080465" w:rsidRPr="001A26EA" w:rsidRDefault="00080465" w:rsidP="00080465">
            <w:r>
              <w:t>48</w:t>
            </w:r>
          </w:p>
        </w:tc>
        <w:tc>
          <w:tcPr>
            <w:tcW w:w="886" w:type="dxa"/>
            <w:hideMark/>
          </w:tcPr>
          <w:p w:rsidR="00080465" w:rsidRPr="001A26EA" w:rsidRDefault="00080465" w:rsidP="00080465">
            <w:r>
              <w:t>66</w:t>
            </w:r>
          </w:p>
        </w:tc>
        <w:tc>
          <w:tcPr>
            <w:tcW w:w="886" w:type="dxa"/>
            <w:hideMark/>
          </w:tcPr>
          <w:p w:rsidR="00080465" w:rsidRPr="001A26EA" w:rsidRDefault="00080465" w:rsidP="00080465">
            <w:r>
              <w:t>78</w:t>
            </w:r>
          </w:p>
        </w:tc>
        <w:tc>
          <w:tcPr>
            <w:tcW w:w="886" w:type="dxa"/>
            <w:hideMark/>
          </w:tcPr>
          <w:p w:rsidR="00080465" w:rsidRPr="001A26EA" w:rsidRDefault="00080465" w:rsidP="00080465">
            <w:r>
              <w:t>80</w:t>
            </w:r>
          </w:p>
        </w:tc>
        <w:tc>
          <w:tcPr>
            <w:tcW w:w="1710" w:type="dxa"/>
            <w:hideMark/>
          </w:tcPr>
          <w:p w:rsidR="00080465" w:rsidRPr="001A26EA" w:rsidRDefault="00080465" w:rsidP="00080465">
            <w:r w:rsidRPr="001A26EA">
              <w:t>Country Office Annual Reports</w:t>
            </w:r>
          </w:p>
        </w:tc>
      </w:tr>
      <w:tr w:rsidR="00080465" w:rsidRPr="001A26EA" w:rsidTr="00080465">
        <w:trPr>
          <w:trHeight w:val="377"/>
        </w:trPr>
        <w:tc>
          <w:tcPr>
            <w:tcW w:w="804" w:type="dxa"/>
            <w:tcBorders>
              <w:top w:val="nil"/>
            </w:tcBorders>
            <w:shd w:val="clear" w:color="auto" w:fill="auto"/>
            <w:noWrap/>
            <w:hideMark/>
          </w:tcPr>
          <w:p w:rsidR="00080465" w:rsidRPr="001A26EA" w:rsidRDefault="00080465" w:rsidP="00080465"/>
        </w:tc>
        <w:tc>
          <w:tcPr>
            <w:tcW w:w="840" w:type="dxa"/>
            <w:tcBorders>
              <w:top w:val="nil"/>
            </w:tcBorders>
            <w:shd w:val="clear" w:color="auto" w:fill="auto"/>
          </w:tcPr>
          <w:p w:rsidR="00080465" w:rsidRPr="001A26EA" w:rsidRDefault="00080465" w:rsidP="00080465"/>
        </w:tc>
        <w:tc>
          <w:tcPr>
            <w:tcW w:w="2463" w:type="dxa"/>
            <w:gridSpan w:val="2"/>
            <w:shd w:val="clear" w:color="auto" w:fill="F2F2F2"/>
            <w:hideMark/>
          </w:tcPr>
          <w:p w:rsidR="00080465" w:rsidRPr="001A26EA" w:rsidRDefault="00080465" w:rsidP="00080465">
            <w:r w:rsidRPr="00F43D71">
              <w:rPr>
                <w:b/>
              </w:rPr>
              <w:t>Output 15:</w:t>
            </w:r>
            <w:r w:rsidRPr="001A26EA">
              <w:t xml:space="preserve"> Strengthened national capacity for using data and evidence to monitor and evaluate national policies and </w:t>
            </w:r>
            <w:r w:rsidRPr="001A26EA">
              <w:lastRenderedPageBreak/>
              <w:t>programmes in the areas of population dynamics, sexual and reproductive health and reproductive rights, HIV, adolescents and youth and gender equality, including in humanitarian settings</w:t>
            </w:r>
          </w:p>
        </w:tc>
        <w:tc>
          <w:tcPr>
            <w:tcW w:w="3434" w:type="dxa"/>
            <w:gridSpan w:val="3"/>
            <w:hideMark/>
          </w:tcPr>
          <w:p w:rsidR="00080465" w:rsidRPr="001A26EA" w:rsidRDefault="00080465" w:rsidP="00080465">
            <w:r w:rsidRPr="001A26EA">
              <w:lastRenderedPageBreak/>
              <w:t xml:space="preserve">15.1: Number of countries that have developed and applied scientifically sound monitoring and evaluation procedures when introducing new sexual and reproductive health, and </w:t>
            </w:r>
            <w:r w:rsidRPr="001A26EA">
              <w:lastRenderedPageBreak/>
              <w:t>adolescents and youth programmatic interventions</w:t>
            </w:r>
          </w:p>
        </w:tc>
        <w:tc>
          <w:tcPr>
            <w:tcW w:w="1020" w:type="dxa"/>
            <w:gridSpan w:val="2"/>
            <w:hideMark/>
          </w:tcPr>
          <w:p w:rsidR="00080465" w:rsidRPr="001A26EA" w:rsidRDefault="00080465" w:rsidP="00080465">
            <w:r w:rsidRPr="001A26EA">
              <w:lastRenderedPageBreak/>
              <w:t>41</w:t>
            </w:r>
          </w:p>
        </w:tc>
        <w:tc>
          <w:tcPr>
            <w:tcW w:w="751" w:type="dxa"/>
            <w:hideMark/>
          </w:tcPr>
          <w:p w:rsidR="00080465" w:rsidRPr="001A26EA" w:rsidRDefault="00080465" w:rsidP="00080465">
            <w:r w:rsidRPr="001A26EA">
              <w:t>59</w:t>
            </w:r>
          </w:p>
        </w:tc>
        <w:tc>
          <w:tcPr>
            <w:tcW w:w="886" w:type="dxa"/>
            <w:hideMark/>
          </w:tcPr>
          <w:p w:rsidR="00080465" w:rsidRPr="001A26EA" w:rsidRDefault="00080465" w:rsidP="00080465">
            <w:r w:rsidRPr="001A26EA">
              <w:t>78</w:t>
            </w:r>
          </w:p>
        </w:tc>
        <w:tc>
          <w:tcPr>
            <w:tcW w:w="886" w:type="dxa"/>
            <w:hideMark/>
          </w:tcPr>
          <w:p w:rsidR="00080465" w:rsidRPr="001A26EA" w:rsidRDefault="00080465" w:rsidP="00080465">
            <w:r w:rsidRPr="001A26EA">
              <w:t>93</w:t>
            </w:r>
          </w:p>
        </w:tc>
        <w:tc>
          <w:tcPr>
            <w:tcW w:w="886" w:type="dxa"/>
            <w:hideMark/>
          </w:tcPr>
          <w:p w:rsidR="00080465" w:rsidRPr="001A26EA" w:rsidRDefault="00080465" w:rsidP="00080465">
            <w:r w:rsidRPr="001A26EA">
              <w:t>110</w:t>
            </w:r>
          </w:p>
        </w:tc>
        <w:tc>
          <w:tcPr>
            <w:tcW w:w="1710" w:type="dxa"/>
            <w:hideMark/>
          </w:tcPr>
          <w:p w:rsidR="00080465" w:rsidRPr="001A26EA" w:rsidRDefault="00080465" w:rsidP="00080465">
            <w:r w:rsidRPr="001A26EA">
              <w:t>Country Office Annual Reports</w:t>
            </w:r>
          </w:p>
        </w:tc>
      </w:tr>
      <w:tr w:rsidR="00080465" w:rsidRPr="001A26EA" w:rsidTr="00080465">
        <w:trPr>
          <w:trHeight w:val="315"/>
        </w:trPr>
        <w:tc>
          <w:tcPr>
            <w:tcW w:w="13680" w:type="dxa"/>
            <w:gridSpan w:val="14"/>
            <w:shd w:val="clear" w:color="auto" w:fill="auto"/>
            <w:noWrap/>
            <w:vAlign w:val="center"/>
            <w:hideMark/>
          </w:tcPr>
          <w:p w:rsidR="00080465" w:rsidRPr="006C5736" w:rsidRDefault="00080465" w:rsidP="00080465">
            <w:pPr>
              <w:rPr>
                <w:b/>
              </w:rPr>
            </w:pPr>
            <w:r w:rsidRPr="006C5736">
              <w:rPr>
                <w:b/>
              </w:rPr>
              <w:lastRenderedPageBreak/>
              <w:t>Organizational effectiveness and efficiency</w:t>
            </w:r>
          </w:p>
        </w:tc>
      </w:tr>
      <w:tr w:rsidR="00080465" w:rsidRPr="001A26EA" w:rsidTr="00080465">
        <w:trPr>
          <w:trHeight w:val="512"/>
        </w:trPr>
        <w:tc>
          <w:tcPr>
            <w:tcW w:w="1644" w:type="dxa"/>
            <w:gridSpan w:val="2"/>
            <w:vMerge w:val="restart"/>
            <w:shd w:val="clear" w:color="auto" w:fill="auto"/>
            <w:noWrap/>
            <w:hideMark/>
          </w:tcPr>
          <w:p w:rsidR="00080465" w:rsidRPr="001A26EA" w:rsidRDefault="00080465" w:rsidP="00080465"/>
        </w:tc>
        <w:tc>
          <w:tcPr>
            <w:tcW w:w="2478" w:type="dxa"/>
            <w:gridSpan w:val="3"/>
            <w:vMerge w:val="restart"/>
            <w:shd w:val="clear" w:color="auto" w:fill="F2F2F2"/>
            <w:hideMark/>
          </w:tcPr>
          <w:p w:rsidR="00080465" w:rsidRPr="001A26EA" w:rsidRDefault="00080465" w:rsidP="00080465">
            <w:r w:rsidRPr="00F43D71">
              <w:rPr>
                <w:b/>
              </w:rPr>
              <w:t>Output 1:</w:t>
            </w:r>
            <w:r w:rsidRPr="001A26EA">
              <w:t xml:space="preserve"> Enhanced programme effectiveness by improving quality assurance, monitoring, and evaluation</w:t>
            </w:r>
          </w:p>
        </w:tc>
        <w:tc>
          <w:tcPr>
            <w:tcW w:w="2999" w:type="dxa"/>
            <w:hideMark/>
          </w:tcPr>
          <w:p w:rsidR="00080465" w:rsidRPr="001A26EA" w:rsidRDefault="00080465" w:rsidP="00080465">
            <w:r w:rsidRPr="001A26EA">
              <w:t>1.1</w:t>
            </w:r>
            <w:r>
              <w:t>:</w:t>
            </w:r>
            <w:r w:rsidRPr="001A26EA">
              <w:t xml:space="preserve"> Percentage of country programmes that meet quality criteria</w:t>
            </w:r>
            <w:r w:rsidRPr="00CB578F">
              <w:rPr>
                <w:i/>
              </w:rPr>
              <w:t xml:space="preserve"> (QCPR)</w:t>
            </w:r>
          </w:p>
        </w:tc>
        <w:tc>
          <w:tcPr>
            <w:tcW w:w="1170" w:type="dxa"/>
            <w:gridSpan w:val="2"/>
            <w:hideMark/>
          </w:tcPr>
          <w:p w:rsidR="00080465" w:rsidRPr="00A855D0" w:rsidRDefault="00080465" w:rsidP="00080465">
            <w:pPr>
              <w:rPr>
                <w:sz w:val="18"/>
              </w:rPr>
            </w:pPr>
            <w:r w:rsidRPr="00A855D0">
              <w:rPr>
                <w:sz w:val="18"/>
              </w:rPr>
              <w:t>a) After PRC review: 92%</w:t>
            </w:r>
            <w:r w:rsidRPr="00A855D0">
              <w:rPr>
                <w:sz w:val="18"/>
              </w:rPr>
              <w:br/>
            </w:r>
          </w:p>
          <w:p w:rsidR="00080465" w:rsidRPr="00A855D0" w:rsidRDefault="00080465" w:rsidP="00080465">
            <w:pPr>
              <w:rPr>
                <w:sz w:val="18"/>
              </w:rPr>
            </w:pPr>
            <w:r w:rsidRPr="00A855D0">
              <w:rPr>
                <w:sz w:val="18"/>
              </w:rPr>
              <w:t>b) Prior to PRC review: 45%</w:t>
            </w:r>
          </w:p>
        </w:tc>
        <w:tc>
          <w:tcPr>
            <w:tcW w:w="1021" w:type="dxa"/>
            <w:gridSpan w:val="2"/>
            <w:hideMark/>
          </w:tcPr>
          <w:p w:rsidR="00080465" w:rsidRPr="00A855D0" w:rsidRDefault="00080465" w:rsidP="00080465">
            <w:pPr>
              <w:rPr>
                <w:sz w:val="18"/>
              </w:rPr>
            </w:pPr>
            <w:r w:rsidRPr="00A855D0">
              <w:rPr>
                <w:sz w:val="18"/>
              </w:rPr>
              <w:t>a) After PRC review: 92%</w:t>
            </w:r>
            <w:r w:rsidRPr="00A855D0">
              <w:rPr>
                <w:sz w:val="18"/>
              </w:rPr>
              <w:br/>
            </w:r>
          </w:p>
          <w:p w:rsidR="00080465" w:rsidRPr="00A855D0" w:rsidRDefault="00080465" w:rsidP="00080465">
            <w:pPr>
              <w:rPr>
                <w:sz w:val="18"/>
              </w:rPr>
            </w:pPr>
            <w:r w:rsidRPr="00A855D0">
              <w:rPr>
                <w:sz w:val="18"/>
              </w:rPr>
              <w:t>b) Prior to PRC review: 60%</w:t>
            </w:r>
          </w:p>
        </w:tc>
        <w:tc>
          <w:tcPr>
            <w:tcW w:w="886" w:type="dxa"/>
            <w:hideMark/>
          </w:tcPr>
          <w:p w:rsidR="00080465" w:rsidRPr="00A855D0" w:rsidRDefault="00080465" w:rsidP="00080465">
            <w:pPr>
              <w:rPr>
                <w:sz w:val="18"/>
              </w:rPr>
            </w:pPr>
            <w:r w:rsidRPr="00A855D0">
              <w:rPr>
                <w:sz w:val="18"/>
              </w:rPr>
              <w:t>a) After PRC review: 92%</w:t>
            </w:r>
            <w:r w:rsidRPr="00A855D0">
              <w:rPr>
                <w:sz w:val="18"/>
              </w:rPr>
              <w:br/>
            </w:r>
          </w:p>
          <w:p w:rsidR="00080465" w:rsidRPr="00A855D0" w:rsidRDefault="00080465" w:rsidP="00080465">
            <w:pPr>
              <w:rPr>
                <w:sz w:val="18"/>
              </w:rPr>
            </w:pPr>
            <w:r w:rsidRPr="00A855D0">
              <w:rPr>
                <w:sz w:val="18"/>
              </w:rPr>
              <w:t>b) Prior to PRC review: 75%</w:t>
            </w:r>
          </w:p>
        </w:tc>
        <w:tc>
          <w:tcPr>
            <w:tcW w:w="886" w:type="dxa"/>
            <w:hideMark/>
          </w:tcPr>
          <w:p w:rsidR="00080465" w:rsidRPr="00A855D0" w:rsidRDefault="00080465" w:rsidP="00080465">
            <w:pPr>
              <w:rPr>
                <w:sz w:val="18"/>
              </w:rPr>
            </w:pPr>
            <w:r w:rsidRPr="00A855D0">
              <w:rPr>
                <w:sz w:val="18"/>
              </w:rPr>
              <w:t>a) After PRC review: 92%</w:t>
            </w:r>
            <w:r w:rsidRPr="00A855D0">
              <w:rPr>
                <w:sz w:val="18"/>
              </w:rPr>
              <w:br/>
            </w:r>
          </w:p>
          <w:p w:rsidR="00080465" w:rsidRPr="00A855D0" w:rsidRDefault="00080465" w:rsidP="00080465">
            <w:pPr>
              <w:rPr>
                <w:sz w:val="18"/>
              </w:rPr>
            </w:pPr>
            <w:r w:rsidRPr="00A855D0">
              <w:rPr>
                <w:sz w:val="18"/>
              </w:rPr>
              <w:t>b) Prior to PRC review: 85%</w:t>
            </w:r>
          </w:p>
        </w:tc>
        <w:tc>
          <w:tcPr>
            <w:tcW w:w="886" w:type="dxa"/>
            <w:hideMark/>
          </w:tcPr>
          <w:p w:rsidR="00080465" w:rsidRPr="00A855D0" w:rsidRDefault="00080465" w:rsidP="00080465">
            <w:pPr>
              <w:rPr>
                <w:sz w:val="18"/>
              </w:rPr>
            </w:pPr>
            <w:r w:rsidRPr="00A855D0">
              <w:rPr>
                <w:sz w:val="18"/>
              </w:rPr>
              <w:t>a) After PRC review: 92%</w:t>
            </w:r>
            <w:r w:rsidRPr="00A855D0">
              <w:rPr>
                <w:sz w:val="18"/>
              </w:rPr>
              <w:br/>
            </w:r>
          </w:p>
          <w:p w:rsidR="00080465" w:rsidRPr="00A855D0" w:rsidRDefault="00080465" w:rsidP="00080465">
            <w:pPr>
              <w:rPr>
                <w:sz w:val="18"/>
              </w:rPr>
            </w:pPr>
            <w:r w:rsidRPr="00A855D0">
              <w:rPr>
                <w:sz w:val="18"/>
              </w:rPr>
              <w:t>b) Prior to PRC review: 90%</w:t>
            </w:r>
          </w:p>
        </w:tc>
        <w:tc>
          <w:tcPr>
            <w:tcW w:w="1710" w:type="dxa"/>
            <w:hideMark/>
          </w:tcPr>
          <w:p w:rsidR="00080465" w:rsidRPr="001A26EA" w:rsidRDefault="00080465" w:rsidP="00080465">
            <w:r w:rsidRPr="001A26EA">
              <w:t>Programme Review Committee data</w:t>
            </w:r>
          </w:p>
        </w:tc>
      </w:tr>
      <w:tr w:rsidR="00080465" w:rsidRPr="001A26EA" w:rsidTr="00080465">
        <w:trPr>
          <w:trHeight w:val="458"/>
        </w:trPr>
        <w:tc>
          <w:tcPr>
            <w:tcW w:w="1644" w:type="dxa"/>
            <w:gridSpan w:val="2"/>
            <w:vMerge/>
            <w:shd w:val="clear" w:color="auto" w:fill="auto"/>
            <w:noWrap/>
          </w:tcPr>
          <w:p w:rsidR="00080465" w:rsidRPr="001A26EA" w:rsidRDefault="00080465" w:rsidP="00080465"/>
        </w:tc>
        <w:tc>
          <w:tcPr>
            <w:tcW w:w="2478" w:type="dxa"/>
            <w:gridSpan w:val="3"/>
            <w:vMerge/>
            <w:shd w:val="clear" w:color="auto" w:fill="F2F2F2"/>
          </w:tcPr>
          <w:p w:rsidR="00080465" w:rsidRPr="001A26EA" w:rsidRDefault="00080465" w:rsidP="00080465"/>
        </w:tc>
        <w:tc>
          <w:tcPr>
            <w:tcW w:w="2999" w:type="dxa"/>
          </w:tcPr>
          <w:p w:rsidR="00080465" w:rsidRPr="001A26EA" w:rsidRDefault="00080465" w:rsidP="00080465">
            <w:r w:rsidRPr="001A26EA">
              <w:t>1.2</w:t>
            </w:r>
            <w:r>
              <w:t>:</w:t>
            </w:r>
            <w:r w:rsidRPr="001A26EA">
              <w:t xml:space="preserve"> Percentage of country programmes rated as “good” performers</w:t>
            </w:r>
          </w:p>
        </w:tc>
        <w:tc>
          <w:tcPr>
            <w:tcW w:w="1170" w:type="dxa"/>
            <w:gridSpan w:val="2"/>
          </w:tcPr>
          <w:p w:rsidR="00080465" w:rsidRPr="001A26EA" w:rsidRDefault="00080465" w:rsidP="00080465">
            <w:r w:rsidRPr="001A26EA">
              <w:t>Not applicable</w:t>
            </w:r>
          </w:p>
        </w:tc>
        <w:tc>
          <w:tcPr>
            <w:tcW w:w="3679" w:type="dxa"/>
            <w:gridSpan w:val="5"/>
          </w:tcPr>
          <w:p w:rsidR="00080465" w:rsidRPr="001A26EA" w:rsidRDefault="00080465" w:rsidP="00080465">
            <w:r w:rsidRPr="001A26EA">
              <w:t>To be set once performance rating system established</w:t>
            </w:r>
          </w:p>
        </w:tc>
        <w:tc>
          <w:tcPr>
            <w:tcW w:w="1710" w:type="dxa"/>
          </w:tcPr>
          <w:p w:rsidR="00080465" w:rsidRPr="001A26EA" w:rsidRDefault="00080465" w:rsidP="00080465">
            <w:r w:rsidRPr="001A26EA">
              <w:t>To be determine</w:t>
            </w:r>
            <w:r>
              <w:t>d</w:t>
            </w:r>
          </w:p>
        </w:tc>
      </w:tr>
      <w:tr w:rsidR="00080465" w:rsidRPr="001A26EA" w:rsidTr="00080465">
        <w:trPr>
          <w:trHeight w:val="611"/>
        </w:trPr>
        <w:tc>
          <w:tcPr>
            <w:tcW w:w="1644" w:type="dxa"/>
            <w:gridSpan w:val="2"/>
            <w:vMerge/>
            <w:shd w:val="clear" w:color="auto" w:fill="auto"/>
            <w:noWrap/>
          </w:tcPr>
          <w:p w:rsidR="00080465" w:rsidRPr="001A26EA" w:rsidRDefault="00080465" w:rsidP="00080465"/>
        </w:tc>
        <w:tc>
          <w:tcPr>
            <w:tcW w:w="2478" w:type="dxa"/>
            <w:gridSpan w:val="3"/>
            <w:vMerge/>
            <w:shd w:val="clear" w:color="auto" w:fill="F2F2F2"/>
          </w:tcPr>
          <w:p w:rsidR="00080465" w:rsidRPr="001A26EA" w:rsidRDefault="00080465" w:rsidP="00080465"/>
        </w:tc>
        <w:tc>
          <w:tcPr>
            <w:tcW w:w="2999" w:type="dxa"/>
          </w:tcPr>
          <w:p w:rsidR="00080465" w:rsidRPr="001A26EA" w:rsidRDefault="00080465" w:rsidP="00080465">
            <w:r w:rsidRPr="001A26EA">
              <w:t>1.3</w:t>
            </w:r>
            <w:r>
              <w:t>:</w:t>
            </w:r>
            <w:r w:rsidRPr="001A26EA">
              <w:t xml:space="preserve"> Percentage of country offices using common results-based management tools and principles</w:t>
            </w:r>
            <w:r w:rsidRPr="001A26EA">
              <w:rPr>
                <w:i/>
                <w:iCs/>
              </w:rPr>
              <w:t xml:space="preserve"> (shared QCPR)</w:t>
            </w:r>
          </w:p>
        </w:tc>
        <w:tc>
          <w:tcPr>
            <w:tcW w:w="1170" w:type="dxa"/>
            <w:gridSpan w:val="2"/>
          </w:tcPr>
          <w:p w:rsidR="00080465" w:rsidRPr="001A26EA" w:rsidRDefault="00080465" w:rsidP="00080465">
            <w:r w:rsidRPr="001A26EA">
              <w:t>Not applicable</w:t>
            </w:r>
          </w:p>
        </w:tc>
        <w:tc>
          <w:tcPr>
            <w:tcW w:w="3679" w:type="dxa"/>
            <w:gridSpan w:val="5"/>
          </w:tcPr>
          <w:p w:rsidR="00080465" w:rsidRPr="001A26EA" w:rsidRDefault="00080465" w:rsidP="00080465">
            <w:r w:rsidRPr="001A26EA">
              <w:t>To be set once common definition is agreed across relevant funds and programmes</w:t>
            </w:r>
          </w:p>
        </w:tc>
        <w:tc>
          <w:tcPr>
            <w:tcW w:w="1710" w:type="dxa"/>
          </w:tcPr>
          <w:p w:rsidR="00080465" w:rsidRPr="001A26EA" w:rsidRDefault="00080465" w:rsidP="00080465">
            <w:r w:rsidRPr="001A26EA">
              <w:t>Country Office Annual Reports</w:t>
            </w:r>
          </w:p>
        </w:tc>
      </w:tr>
      <w:tr w:rsidR="00080465" w:rsidRPr="001A26EA" w:rsidTr="00080465">
        <w:trPr>
          <w:trHeight w:val="503"/>
        </w:trPr>
        <w:tc>
          <w:tcPr>
            <w:tcW w:w="1644" w:type="dxa"/>
            <w:gridSpan w:val="2"/>
            <w:vMerge/>
            <w:shd w:val="clear" w:color="auto" w:fill="auto"/>
            <w:noWrap/>
          </w:tcPr>
          <w:p w:rsidR="00080465" w:rsidRPr="001A26EA" w:rsidRDefault="00080465" w:rsidP="00080465"/>
        </w:tc>
        <w:tc>
          <w:tcPr>
            <w:tcW w:w="2478" w:type="dxa"/>
            <w:gridSpan w:val="3"/>
            <w:vMerge/>
            <w:shd w:val="clear" w:color="auto" w:fill="F2F2F2"/>
          </w:tcPr>
          <w:p w:rsidR="00080465" w:rsidRPr="001A26EA" w:rsidRDefault="00080465" w:rsidP="00080465"/>
        </w:tc>
        <w:tc>
          <w:tcPr>
            <w:tcW w:w="2999" w:type="dxa"/>
          </w:tcPr>
          <w:p w:rsidR="00080465" w:rsidRPr="001A26EA" w:rsidRDefault="00080465" w:rsidP="00080465">
            <w:r w:rsidRPr="001A26EA">
              <w:t>1.4</w:t>
            </w:r>
            <w:r>
              <w:t>:</w:t>
            </w:r>
            <w:r w:rsidRPr="001A26EA">
              <w:t xml:space="preserve"> Percentage of country offices using the common UNDG capacity measurement approach (when fully developed)</w:t>
            </w:r>
            <w:r w:rsidRPr="001A26EA">
              <w:rPr>
                <w:i/>
                <w:iCs/>
              </w:rPr>
              <w:t xml:space="preserve"> (shared QCPR)</w:t>
            </w:r>
          </w:p>
        </w:tc>
        <w:tc>
          <w:tcPr>
            <w:tcW w:w="1170" w:type="dxa"/>
            <w:gridSpan w:val="2"/>
          </w:tcPr>
          <w:p w:rsidR="00080465" w:rsidRPr="001A26EA" w:rsidRDefault="00080465" w:rsidP="00080465">
            <w:r w:rsidRPr="001A26EA">
              <w:t>Not applicable</w:t>
            </w:r>
          </w:p>
        </w:tc>
        <w:tc>
          <w:tcPr>
            <w:tcW w:w="3679" w:type="dxa"/>
            <w:gridSpan w:val="5"/>
          </w:tcPr>
          <w:p w:rsidR="00080465" w:rsidRPr="001A26EA" w:rsidRDefault="00080465" w:rsidP="00080465">
            <w:r w:rsidRPr="001A26EA">
              <w:t>To be set once common approach is agreed across funds and programmes</w:t>
            </w:r>
          </w:p>
        </w:tc>
        <w:tc>
          <w:tcPr>
            <w:tcW w:w="1710" w:type="dxa"/>
          </w:tcPr>
          <w:p w:rsidR="00080465" w:rsidRPr="001A26EA" w:rsidRDefault="00080465" w:rsidP="00080465">
            <w:r w:rsidRPr="001A26EA">
              <w:t>Country Office Annual Reports</w:t>
            </w:r>
          </w:p>
        </w:tc>
      </w:tr>
      <w:tr w:rsidR="00080465" w:rsidRPr="001A26EA" w:rsidTr="00080465">
        <w:trPr>
          <w:trHeight w:val="152"/>
        </w:trPr>
        <w:tc>
          <w:tcPr>
            <w:tcW w:w="1644" w:type="dxa"/>
            <w:gridSpan w:val="2"/>
            <w:vMerge/>
            <w:shd w:val="clear" w:color="auto" w:fill="auto"/>
            <w:noWrap/>
            <w:hideMark/>
          </w:tcPr>
          <w:p w:rsidR="00080465" w:rsidRPr="001A26EA" w:rsidRDefault="00080465" w:rsidP="00080465"/>
        </w:tc>
        <w:tc>
          <w:tcPr>
            <w:tcW w:w="2478" w:type="dxa"/>
            <w:gridSpan w:val="3"/>
            <w:vMerge/>
            <w:shd w:val="clear" w:color="auto" w:fill="F2F2F2"/>
            <w:hideMark/>
          </w:tcPr>
          <w:p w:rsidR="00080465" w:rsidRPr="001A26EA" w:rsidRDefault="00080465" w:rsidP="00080465"/>
        </w:tc>
        <w:tc>
          <w:tcPr>
            <w:tcW w:w="2999" w:type="dxa"/>
            <w:hideMark/>
          </w:tcPr>
          <w:p w:rsidR="00080465" w:rsidRPr="001A26EA" w:rsidRDefault="00080465" w:rsidP="00080465">
            <w:r w:rsidRPr="001A26EA">
              <w:t>1.5</w:t>
            </w:r>
            <w:r>
              <w:t>:</w:t>
            </w:r>
            <w:r w:rsidRPr="001A26EA">
              <w:t xml:space="preserve"> Percentage of country programmes that duly monitor at least 90</w:t>
            </w:r>
            <w:r>
              <w:t>%</w:t>
            </w:r>
            <w:r w:rsidRPr="001A26EA">
              <w:t xml:space="preserve"> of country programme indicators</w:t>
            </w:r>
          </w:p>
        </w:tc>
        <w:tc>
          <w:tcPr>
            <w:tcW w:w="1170" w:type="dxa"/>
            <w:gridSpan w:val="2"/>
            <w:hideMark/>
          </w:tcPr>
          <w:p w:rsidR="00080465" w:rsidRPr="005C0549" w:rsidRDefault="00080465" w:rsidP="00080465">
            <w:r w:rsidRPr="005C0549">
              <w:t>40%</w:t>
            </w:r>
          </w:p>
        </w:tc>
        <w:tc>
          <w:tcPr>
            <w:tcW w:w="1021" w:type="dxa"/>
            <w:gridSpan w:val="2"/>
            <w:hideMark/>
          </w:tcPr>
          <w:p w:rsidR="00080465" w:rsidRPr="005C0549" w:rsidRDefault="00080465" w:rsidP="00080465">
            <w:pPr>
              <w:rPr>
                <w:iCs/>
              </w:rPr>
            </w:pPr>
            <w:r w:rsidRPr="005C0549">
              <w:rPr>
                <w:iCs/>
              </w:rPr>
              <w:t>45%</w:t>
            </w:r>
          </w:p>
        </w:tc>
        <w:tc>
          <w:tcPr>
            <w:tcW w:w="886" w:type="dxa"/>
            <w:hideMark/>
          </w:tcPr>
          <w:p w:rsidR="00080465" w:rsidRPr="005C0549" w:rsidRDefault="00080465" w:rsidP="00080465">
            <w:pPr>
              <w:rPr>
                <w:iCs/>
              </w:rPr>
            </w:pPr>
            <w:r w:rsidRPr="005C0549">
              <w:rPr>
                <w:iCs/>
              </w:rPr>
              <w:t>50%</w:t>
            </w:r>
          </w:p>
        </w:tc>
        <w:tc>
          <w:tcPr>
            <w:tcW w:w="886" w:type="dxa"/>
            <w:hideMark/>
          </w:tcPr>
          <w:p w:rsidR="00080465" w:rsidRPr="005C0549" w:rsidRDefault="00080465" w:rsidP="00080465">
            <w:pPr>
              <w:rPr>
                <w:iCs/>
              </w:rPr>
            </w:pPr>
            <w:r w:rsidRPr="005C0549">
              <w:rPr>
                <w:iCs/>
              </w:rPr>
              <w:t>55%</w:t>
            </w:r>
          </w:p>
        </w:tc>
        <w:tc>
          <w:tcPr>
            <w:tcW w:w="886" w:type="dxa"/>
            <w:hideMark/>
          </w:tcPr>
          <w:p w:rsidR="00080465" w:rsidRPr="005C0549" w:rsidRDefault="00080465" w:rsidP="00080465">
            <w:pPr>
              <w:rPr>
                <w:iCs/>
              </w:rPr>
            </w:pPr>
            <w:r>
              <w:rPr>
                <w:iCs/>
              </w:rPr>
              <w:t>65</w:t>
            </w:r>
            <w:r w:rsidRPr="005C0549">
              <w:rPr>
                <w:iCs/>
              </w:rPr>
              <w:t>%</w:t>
            </w:r>
          </w:p>
        </w:tc>
        <w:tc>
          <w:tcPr>
            <w:tcW w:w="1710" w:type="dxa"/>
            <w:hideMark/>
          </w:tcPr>
          <w:p w:rsidR="00080465" w:rsidRPr="001A26EA" w:rsidRDefault="00080465" w:rsidP="00080465">
            <w:r w:rsidRPr="001A26EA">
              <w:t>Country Office Annual Reports</w:t>
            </w:r>
          </w:p>
        </w:tc>
      </w:tr>
      <w:tr w:rsidR="00080465" w:rsidRPr="001A26EA" w:rsidTr="00080465">
        <w:trPr>
          <w:trHeight w:val="566"/>
        </w:trPr>
        <w:tc>
          <w:tcPr>
            <w:tcW w:w="1644" w:type="dxa"/>
            <w:gridSpan w:val="2"/>
            <w:vMerge/>
            <w:shd w:val="clear" w:color="auto" w:fill="auto"/>
            <w:noWrap/>
            <w:hideMark/>
          </w:tcPr>
          <w:p w:rsidR="00080465" w:rsidRPr="001A26EA" w:rsidRDefault="00080465" w:rsidP="00080465"/>
        </w:tc>
        <w:tc>
          <w:tcPr>
            <w:tcW w:w="2478" w:type="dxa"/>
            <w:gridSpan w:val="3"/>
            <w:vMerge/>
            <w:shd w:val="clear" w:color="auto" w:fill="F2F2F2"/>
            <w:hideMark/>
          </w:tcPr>
          <w:p w:rsidR="00080465" w:rsidRPr="001A26EA" w:rsidRDefault="00080465" w:rsidP="00080465"/>
        </w:tc>
        <w:tc>
          <w:tcPr>
            <w:tcW w:w="2999" w:type="dxa"/>
            <w:hideMark/>
          </w:tcPr>
          <w:p w:rsidR="00080465" w:rsidRPr="001A26EA" w:rsidRDefault="00080465" w:rsidP="00080465">
            <w:r w:rsidRPr="001A26EA">
              <w:t>1.6</w:t>
            </w:r>
            <w:r>
              <w:t>:</w:t>
            </w:r>
            <w:r w:rsidRPr="001A26EA">
              <w:t xml:space="preserve"> Percentage of accepted programme evaluation recommendations for which the actions due in the year have been completed</w:t>
            </w:r>
            <w:r w:rsidRPr="001A26EA">
              <w:rPr>
                <w:i/>
                <w:iCs/>
              </w:rPr>
              <w:t xml:space="preserve"> (QCPR)</w:t>
            </w:r>
          </w:p>
        </w:tc>
        <w:tc>
          <w:tcPr>
            <w:tcW w:w="1170" w:type="dxa"/>
            <w:gridSpan w:val="2"/>
            <w:hideMark/>
          </w:tcPr>
          <w:p w:rsidR="00080465" w:rsidRPr="005C0549" w:rsidRDefault="00080465" w:rsidP="00080465">
            <w:r w:rsidRPr="005C0549">
              <w:t>90%</w:t>
            </w:r>
          </w:p>
        </w:tc>
        <w:tc>
          <w:tcPr>
            <w:tcW w:w="1021" w:type="dxa"/>
            <w:gridSpan w:val="2"/>
            <w:hideMark/>
          </w:tcPr>
          <w:p w:rsidR="00080465" w:rsidRPr="005C0549" w:rsidRDefault="00080465" w:rsidP="00080465">
            <w:pPr>
              <w:rPr>
                <w:iCs/>
              </w:rPr>
            </w:pPr>
            <w:r w:rsidRPr="005C0549">
              <w:rPr>
                <w:iCs/>
              </w:rPr>
              <w:t>93%</w:t>
            </w:r>
          </w:p>
        </w:tc>
        <w:tc>
          <w:tcPr>
            <w:tcW w:w="886" w:type="dxa"/>
            <w:hideMark/>
          </w:tcPr>
          <w:p w:rsidR="00080465" w:rsidRPr="005C0549" w:rsidRDefault="00080465" w:rsidP="00080465">
            <w:pPr>
              <w:rPr>
                <w:iCs/>
              </w:rPr>
            </w:pPr>
            <w:r w:rsidRPr="005C0549">
              <w:rPr>
                <w:iCs/>
              </w:rPr>
              <w:t>93%</w:t>
            </w:r>
          </w:p>
        </w:tc>
        <w:tc>
          <w:tcPr>
            <w:tcW w:w="886" w:type="dxa"/>
            <w:hideMark/>
          </w:tcPr>
          <w:p w:rsidR="00080465" w:rsidRPr="005C0549" w:rsidRDefault="00080465" w:rsidP="00080465">
            <w:pPr>
              <w:rPr>
                <w:iCs/>
              </w:rPr>
            </w:pPr>
            <w:r w:rsidRPr="005C0549">
              <w:rPr>
                <w:iCs/>
              </w:rPr>
              <w:t>97%</w:t>
            </w:r>
          </w:p>
        </w:tc>
        <w:tc>
          <w:tcPr>
            <w:tcW w:w="886" w:type="dxa"/>
            <w:hideMark/>
          </w:tcPr>
          <w:p w:rsidR="00080465" w:rsidRPr="005C0549" w:rsidRDefault="00080465" w:rsidP="00080465">
            <w:pPr>
              <w:rPr>
                <w:iCs/>
              </w:rPr>
            </w:pPr>
            <w:r w:rsidRPr="005C0549">
              <w:rPr>
                <w:iCs/>
              </w:rPr>
              <w:t>97%</w:t>
            </w:r>
          </w:p>
        </w:tc>
        <w:tc>
          <w:tcPr>
            <w:tcW w:w="1710" w:type="dxa"/>
            <w:hideMark/>
          </w:tcPr>
          <w:p w:rsidR="00080465" w:rsidRPr="001A26EA" w:rsidRDefault="00080465" w:rsidP="00080465">
            <w:r w:rsidRPr="001A26EA">
              <w:t>Management response database</w:t>
            </w:r>
          </w:p>
        </w:tc>
      </w:tr>
      <w:tr w:rsidR="00080465" w:rsidRPr="001A26EA" w:rsidTr="00080465">
        <w:trPr>
          <w:trHeight w:val="615"/>
        </w:trPr>
        <w:tc>
          <w:tcPr>
            <w:tcW w:w="1644" w:type="dxa"/>
            <w:gridSpan w:val="2"/>
            <w:vMerge/>
            <w:shd w:val="clear" w:color="auto" w:fill="auto"/>
            <w:noWrap/>
            <w:hideMark/>
          </w:tcPr>
          <w:p w:rsidR="00080465" w:rsidRPr="001A26EA" w:rsidRDefault="00080465" w:rsidP="00080465"/>
        </w:tc>
        <w:tc>
          <w:tcPr>
            <w:tcW w:w="2478" w:type="dxa"/>
            <w:gridSpan w:val="3"/>
            <w:vMerge/>
            <w:shd w:val="clear" w:color="auto" w:fill="F2F2F2"/>
            <w:hideMark/>
          </w:tcPr>
          <w:p w:rsidR="00080465" w:rsidRPr="001A26EA" w:rsidRDefault="00080465" w:rsidP="00080465"/>
        </w:tc>
        <w:tc>
          <w:tcPr>
            <w:tcW w:w="2999" w:type="dxa"/>
            <w:hideMark/>
          </w:tcPr>
          <w:p w:rsidR="00080465" w:rsidRPr="001A26EA" w:rsidRDefault="00080465" w:rsidP="00080465">
            <w:r w:rsidRPr="001A26EA">
              <w:t>1.7</w:t>
            </w:r>
            <w:r>
              <w:t>:</w:t>
            </w:r>
            <w:r w:rsidRPr="001A26EA">
              <w:t xml:space="preserve"> Percentage of corporate and programme-level evaluations </w:t>
            </w:r>
            <w:r w:rsidRPr="001A26EA">
              <w:lastRenderedPageBreak/>
              <w:t>completed as planned</w:t>
            </w:r>
            <w:r w:rsidRPr="001A26EA">
              <w:rPr>
                <w:i/>
                <w:iCs/>
              </w:rPr>
              <w:t xml:space="preserve"> (QCPR)</w:t>
            </w:r>
          </w:p>
        </w:tc>
        <w:tc>
          <w:tcPr>
            <w:tcW w:w="1170" w:type="dxa"/>
            <w:gridSpan w:val="2"/>
            <w:hideMark/>
          </w:tcPr>
          <w:p w:rsidR="00080465" w:rsidRPr="001A26EA" w:rsidRDefault="00080465" w:rsidP="00080465">
            <w:r w:rsidRPr="001A26EA">
              <w:lastRenderedPageBreak/>
              <w:t>Not applicable</w:t>
            </w:r>
          </w:p>
        </w:tc>
        <w:tc>
          <w:tcPr>
            <w:tcW w:w="1021" w:type="dxa"/>
            <w:gridSpan w:val="2"/>
            <w:hideMark/>
          </w:tcPr>
          <w:p w:rsidR="00080465" w:rsidRPr="001A26EA" w:rsidRDefault="00080465" w:rsidP="00080465">
            <w:r w:rsidRPr="001A26EA">
              <w:t>100%</w:t>
            </w:r>
          </w:p>
        </w:tc>
        <w:tc>
          <w:tcPr>
            <w:tcW w:w="886" w:type="dxa"/>
            <w:hideMark/>
          </w:tcPr>
          <w:p w:rsidR="00080465" w:rsidRPr="001A26EA" w:rsidRDefault="00080465" w:rsidP="00080465">
            <w:r w:rsidRPr="001A26EA">
              <w:t>100%</w:t>
            </w:r>
          </w:p>
        </w:tc>
        <w:tc>
          <w:tcPr>
            <w:tcW w:w="886" w:type="dxa"/>
            <w:hideMark/>
          </w:tcPr>
          <w:p w:rsidR="00080465" w:rsidRPr="001A26EA" w:rsidRDefault="00080465" w:rsidP="00080465">
            <w:r w:rsidRPr="001A26EA">
              <w:t>100%</w:t>
            </w:r>
          </w:p>
        </w:tc>
        <w:tc>
          <w:tcPr>
            <w:tcW w:w="886" w:type="dxa"/>
            <w:hideMark/>
          </w:tcPr>
          <w:p w:rsidR="00080465" w:rsidRPr="001A26EA" w:rsidRDefault="00080465" w:rsidP="00080465">
            <w:r w:rsidRPr="001A26EA">
              <w:t>100%</w:t>
            </w:r>
          </w:p>
        </w:tc>
        <w:tc>
          <w:tcPr>
            <w:tcW w:w="1710" w:type="dxa"/>
            <w:hideMark/>
          </w:tcPr>
          <w:p w:rsidR="00080465" w:rsidRPr="001A26EA" w:rsidRDefault="00080465" w:rsidP="00080465">
            <w:r w:rsidRPr="001A26EA">
              <w:t>Evaluation Office</w:t>
            </w:r>
          </w:p>
        </w:tc>
      </w:tr>
      <w:tr w:rsidR="00080465" w:rsidRPr="001A26EA" w:rsidTr="00080465">
        <w:trPr>
          <w:trHeight w:val="494"/>
        </w:trPr>
        <w:tc>
          <w:tcPr>
            <w:tcW w:w="1644" w:type="dxa"/>
            <w:gridSpan w:val="2"/>
            <w:vMerge/>
            <w:shd w:val="clear" w:color="auto" w:fill="auto"/>
            <w:noWrap/>
            <w:hideMark/>
          </w:tcPr>
          <w:p w:rsidR="00080465" w:rsidRPr="001A26EA" w:rsidRDefault="00080465" w:rsidP="00080465"/>
        </w:tc>
        <w:tc>
          <w:tcPr>
            <w:tcW w:w="2478" w:type="dxa"/>
            <w:gridSpan w:val="3"/>
            <w:vMerge/>
            <w:shd w:val="clear" w:color="auto" w:fill="F2F2F2"/>
            <w:hideMark/>
          </w:tcPr>
          <w:p w:rsidR="00080465" w:rsidRPr="001A26EA" w:rsidRDefault="00080465" w:rsidP="00080465"/>
        </w:tc>
        <w:tc>
          <w:tcPr>
            <w:tcW w:w="2999" w:type="dxa"/>
            <w:hideMark/>
          </w:tcPr>
          <w:p w:rsidR="00080465" w:rsidRPr="001A26EA" w:rsidRDefault="00080465" w:rsidP="00080465">
            <w:r w:rsidRPr="001A26EA">
              <w:t>1.8</w:t>
            </w:r>
            <w:r>
              <w:t>:</w:t>
            </w:r>
            <w:r w:rsidRPr="001A26EA">
              <w:t xml:space="preserve"> Percentage of Country Offices </w:t>
            </w:r>
            <w:r>
              <w:t>in high risk countries that have up-to-</w:t>
            </w:r>
            <w:r w:rsidRPr="001A26EA">
              <w:t>date</w:t>
            </w:r>
            <w:r>
              <w:t xml:space="preserve"> humanitarian</w:t>
            </w:r>
            <w:r w:rsidRPr="001A26EA">
              <w:t xml:space="preserve"> preparedness plans</w:t>
            </w:r>
          </w:p>
        </w:tc>
        <w:tc>
          <w:tcPr>
            <w:tcW w:w="1170" w:type="dxa"/>
            <w:gridSpan w:val="2"/>
            <w:hideMark/>
          </w:tcPr>
          <w:p w:rsidR="00080465" w:rsidRPr="005C0549" w:rsidRDefault="00080465" w:rsidP="00080465">
            <w:pPr>
              <w:rPr>
                <w:iCs/>
              </w:rPr>
            </w:pPr>
            <w:r>
              <w:rPr>
                <w:iCs/>
              </w:rPr>
              <w:t>20%</w:t>
            </w:r>
          </w:p>
        </w:tc>
        <w:tc>
          <w:tcPr>
            <w:tcW w:w="1021" w:type="dxa"/>
            <w:gridSpan w:val="2"/>
            <w:hideMark/>
          </w:tcPr>
          <w:p w:rsidR="00080465" w:rsidRPr="005C0549" w:rsidRDefault="00080465" w:rsidP="00080465">
            <w:pPr>
              <w:rPr>
                <w:iCs/>
              </w:rPr>
            </w:pPr>
            <w:r>
              <w:rPr>
                <w:iCs/>
              </w:rPr>
              <w:t>28%</w:t>
            </w:r>
          </w:p>
        </w:tc>
        <w:tc>
          <w:tcPr>
            <w:tcW w:w="886" w:type="dxa"/>
            <w:hideMark/>
          </w:tcPr>
          <w:p w:rsidR="00080465" w:rsidRPr="005C0549" w:rsidRDefault="00080465" w:rsidP="00080465">
            <w:pPr>
              <w:rPr>
                <w:iCs/>
              </w:rPr>
            </w:pPr>
            <w:r>
              <w:rPr>
                <w:iCs/>
              </w:rPr>
              <w:t>40%</w:t>
            </w:r>
          </w:p>
        </w:tc>
        <w:tc>
          <w:tcPr>
            <w:tcW w:w="886" w:type="dxa"/>
            <w:hideMark/>
          </w:tcPr>
          <w:p w:rsidR="00080465" w:rsidRPr="005C0549" w:rsidRDefault="00080465" w:rsidP="00080465">
            <w:pPr>
              <w:rPr>
                <w:iCs/>
              </w:rPr>
            </w:pPr>
            <w:r>
              <w:rPr>
                <w:iCs/>
              </w:rPr>
              <w:t>56%</w:t>
            </w:r>
          </w:p>
        </w:tc>
        <w:tc>
          <w:tcPr>
            <w:tcW w:w="886" w:type="dxa"/>
            <w:hideMark/>
          </w:tcPr>
          <w:p w:rsidR="00080465" w:rsidRPr="005C0549" w:rsidRDefault="00080465" w:rsidP="00080465">
            <w:pPr>
              <w:rPr>
                <w:iCs/>
              </w:rPr>
            </w:pPr>
            <w:r>
              <w:rPr>
                <w:iCs/>
              </w:rPr>
              <w:t>64%</w:t>
            </w:r>
          </w:p>
        </w:tc>
        <w:tc>
          <w:tcPr>
            <w:tcW w:w="1710" w:type="dxa"/>
            <w:hideMark/>
          </w:tcPr>
          <w:p w:rsidR="00080465" w:rsidRPr="001A26EA" w:rsidRDefault="00080465" w:rsidP="00080465">
            <w:r w:rsidRPr="001A26EA">
              <w:t>Country Office Annual Reports</w:t>
            </w:r>
          </w:p>
        </w:tc>
      </w:tr>
      <w:tr w:rsidR="00080465" w:rsidRPr="001A26EA" w:rsidTr="00080465">
        <w:trPr>
          <w:trHeight w:val="332"/>
        </w:trPr>
        <w:tc>
          <w:tcPr>
            <w:tcW w:w="1644" w:type="dxa"/>
            <w:gridSpan w:val="2"/>
            <w:vMerge/>
            <w:shd w:val="clear" w:color="auto" w:fill="auto"/>
            <w:noWrap/>
            <w:hideMark/>
          </w:tcPr>
          <w:p w:rsidR="00080465" w:rsidRPr="001A26EA" w:rsidRDefault="00080465" w:rsidP="00080465"/>
        </w:tc>
        <w:tc>
          <w:tcPr>
            <w:tcW w:w="2478" w:type="dxa"/>
            <w:gridSpan w:val="3"/>
            <w:vMerge/>
            <w:shd w:val="clear" w:color="auto" w:fill="F2F2F2"/>
            <w:hideMark/>
          </w:tcPr>
          <w:p w:rsidR="00080465" w:rsidRPr="001A26EA" w:rsidRDefault="00080465" w:rsidP="00080465"/>
        </w:tc>
        <w:tc>
          <w:tcPr>
            <w:tcW w:w="2999" w:type="dxa"/>
            <w:hideMark/>
          </w:tcPr>
          <w:p w:rsidR="00080465" w:rsidRPr="001A26EA" w:rsidRDefault="00080465" w:rsidP="00080465">
            <w:r w:rsidRPr="001A26EA">
              <w:t>1.9</w:t>
            </w:r>
            <w:r>
              <w:t>:</w:t>
            </w:r>
            <w:r w:rsidRPr="001A26EA">
              <w:t xml:space="preserve"> Percentage of Country Offices that receive effective support from Regional Offices</w:t>
            </w:r>
          </w:p>
        </w:tc>
        <w:tc>
          <w:tcPr>
            <w:tcW w:w="1170" w:type="dxa"/>
            <w:gridSpan w:val="2"/>
            <w:hideMark/>
          </w:tcPr>
          <w:p w:rsidR="00080465" w:rsidRPr="001A26EA" w:rsidRDefault="00080465" w:rsidP="00080465">
            <w:r w:rsidRPr="001A26EA">
              <w:t>68%</w:t>
            </w:r>
          </w:p>
        </w:tc>
        <w:tc>
          <w:tcPr>
            <w:tcW w:w="1021" w:type="dxa"/>
            <w:gridSpan w:val="2"/>
            <w:hideMark/>
          </w:tcPr>
          <w:p w:rsidR="00080465" w:rsidRPr="001A26EA" w:rsidRDefault="00080465" w:rsidP="00080465">
            <w:r w:rsidRPr="001A26EA">
              <w:t>77%</w:t>
            </w:r>
          </w:p>
        </w:tc>
        <w:tc>
          <w:tcPr>
            <w:tcW w:w="886" w:type="dxa"/>
            <w:hideMark/>
          </w:tcPr>
          <w:p w:rsidR="00080465" w:rsidRPr="001A26EA" w:rsidRDefault="00080465" w:rsidP="00080465">
            <w:r w:rsidRPr="001A26EA">
              <w:t>81%</w:t>
            </w:r>
          </w:p>
        </w:tc>
        <w:tc>
          <w:tcPr>
            <w:tcW w:w="886" w:type="dxa"/>
            <w:hideMark/>
          </w:tcPr>
          <w:p w:rsidR="00080465" w:rsidRPr="001A26EA" w:rsidRDefault="00080465" w:rsidP="00080465">
            <w:r w:rsidRPr="001A26EA">
              <w:t>86%</w:t>
            </w:r>
          </w:p>
        </w:tc>
        <w:tc>
          <w:tcPr>
            <w:tcW w:w="886" w:type="dxa"/>
            <w:hideMark/>
          </w:tcPr>
          <w:p w:rsidR="00080465" w:rsidRPr="001A26EA" w:rsidRDefault="00080465" w:rsidP="00080465">
            <w:r w:rsidRPr="001A26EA">
              <w:t>90%</w:t>
            </w:r>
          </w:p>
        </w:tc>
        <w:tc>
          <w:tcPr>
            <w:tcW w:w="1710" w:type="dxa"/>
            <w:hideMark/>
          </w:tcPr>
          <w:p w:rsidR="00080465" w:rsidRPr="001A26EA" w:rsidRDefault="00080465" w:rsidP="00080465">
            <w:r w:rsidRPr="001A26EA">
              <w:t>Country Office Annual Reports</w:t>
            </w:r>
          </w:p>
        </w:tc>
      </w:tr>
      <w:tr w:rsidR="00080465" w:rsidRPr="001A26EA" w:rsidTr="00080465">
        <w:trPr>
          <w:trHeight w:val="584"/>
        </w:trPr>
        <w:tc>
          <w:tcPr>
            <w:tcW w:w="1644" w:type="dxa"/>
            <w:gridSpan w:val="2"/>
            <w:vMerge/>
            <w:shd w:val="clear" w:color="auto" w:fill="auto"/>
            <w:noWrap/>
            <w:hideMark/>
          </w:tcPr>
          <w:p w:rsidR="00080465" w:rsidRPr="001A26EA" w:rsidRDefault="00080465" w:rsidP="00080465"/>
        </w:tc>
        <w:tc>
          <w:tcPr>
            <w:tcW w:w="2478" w:type="dxa"/>
            <w:gridSpan w:val="3"/>
            <w:vMerge/>
            <w:shd w:val="clear" w:color="auto" w:fill="F2F2F2"/>
            <w:hideMark/>
          </w:tcPr>
          <w:p w:rsidR="00080465" w:rsidRPr="001A26EA" w:rsidRDefault="00080465" w:rsidP="00080465"/>
        </w:tc>
        <w:tc>
          <w:tcPr>
            <w:tcW w:w="2999" w:type="dxa"/>
            <w:hideMark/>
          </w:tcPr>
          <w:p w:rsidR="00080465" w:rsidRPr="001A26EA" w:rsidRDefault="00080465" w:rsidP="00080465">
            <w:r w:rsidRPr="001A26EA">
              <w:t>1.10</w:t>
            </w:r>
            <w:r>
              <w:t>:</w:t>
            </w:r>
            <w:r w:rsidRPr="001A26EA">
              <w:t xml:space="preserve"> Percentage of </w:t>
            </w:r>
            <w:r>
              <w:t>UNFPA field units that use south-</w:t>
            </w:r>
            <w:r w:rsidRPr="001A26EA">
              <w:t>south or triangular cooperation to achieve results</w:t>
            </w:r>
            <w:r w:rsidRPr="00CB578F">
              <w:rPr>
                <w:i/>
              </w:rPr>
              <w:t xml:space="preserve"> (QCPR)</w:t>
            </w:r>
          </w:p>
        </w:tc>
        <w:tc>
          <w:tcPr>
            <w:tcW w:w="1170" w:type="dxa"/>
            <w:gridSpan w:val="2"/>
            <w:hideMark/>
          </w:tcPr>
          <w:p w:rsidR="00080465" w:rsidRPr="005C0549" w:rsidRDefault="00080465" w:rsidP="00080465">
            <w:pPr>
              <w:rPr>
                <w:iCs/>
              </w:rPr>
            </w:pPr>
            <w:r>
              <w:rPr>
                <w:iCs/>
              </w:rPr>
              <w:t>42%</w:t>
            </w:r>
          </w:p>
        </w:tc>
        <w:tc>
          <w:tcPr>
            <w:tcW w:w="1021" w:type="dxa"/>
            <w:gridSpan w:val="2"/>
            <w:hideMark/>
          </w:tcPr>
          <w:p w:rsidR="00080465" w:rsidRPr="005C0549" w:rsidRDefault="00080465" w:rsidP="00080465">
            <w:pPr>
              <w:rPr>
                <w:iCs/>
              </w:rPr>
            </w:pPr>
            <w:r>
              <w:rPr>
                <w:iCs/>
              </w:rPr>
              <w:t>52%</w:t>
            </w:r>
          </w:p>
        </w:tc>
        <w:tc>
          <w:tcPr>
            <w:tcW w:w="886" w:type="dxa"/>
            <w:hideMark/>
          </w:tcPr>
          <w:p w:rsidR="00080465" w:rsidRPr="005C0549" w:rsidRDefault="00080465" w:rsidP="00080465">
            <w:pPr>
              <w:rPr>
                <w:iCs/>
              </w:rPr>
            </w:pPr>
            <w:r>
              <w:rPr>
                <w:iCs/>
              </w:rPr>
              <w:t>57%</w:t>
            </w:r>
          </w:p>
        </w:tc>
        <w:tc>
          <w:tcPr>
            <w:tcW w:w="886" w:type="dxa"/>
            <w:hideMark/>
          </w:tcPr>
          <w:p w:rsidR="00080465" w:rsidRPr="005C0549" w:rsidRDefault="00080465" w:rsidP="00080465">
            <w:pPr>
              <w:rPr>
                <w:iCs/>
              </w:rPr>
            </w:pPr>
            <w:r>
              <w:rPr>
                <w:iCs/>
              </w:rPr>
              <w:t>62%</w:t>
            </w:r>
          </w:p>
        </w:tc>
        <w:tc>
          <w:tcPr>
            <w:tcW w:w="886" w:type="dxa"/>
            <w:hideMark/>
          </w:tcPr>
          <w:p w:rsidR="00080465" w:rsidRPr="005C0549" w:rsidRDefault="00080465" w:rsidP="00080465">
            <w:pPr>
              <w:rPr>
                <w:iCs/>
              </w:rPr>
            </w:pPr>
            <w:r>
              <w:rPr>
                <w:iCs/>
              </w:rPr>
              <w:t>62%</w:t>
            </w:r>
          </w:p>
        </w:tc>
        <w:tc>
          <w:tcPr>
            <w:tcW w:w="1710" w:type="dxa"/>
            <w:hideMark/>
          </w:tcPr>
          <w:p w:rsidR="00080465" w:rsidRPr="001A26EA" w:rsidRDefault="00080465" w:rsidP="00080465">
            <w:r w:rsidRPr="001A26EA">
              <w:t>Country and Regional Office Annual Reports</w:t>
            </w:r>
          </w:p>
        </w:tc>
      </w:tr>
      <w:tr w:rsidR="00080465" w:rsidRPr="001A26EA" w:rsidTr="00080465">
        <w:trPr>
          <w:trHeight w:val="863"/>
        </w:trPr>
        <w:tc>
          <w:tcPr>
            <w:tcW w:w="1644" w:type="dxa"/>
            <w:gridSpan w:val="2"/>
            <w:vMerge/>
            <w:shd w:val="clear" w:color="auto" w:fill="auto"/>
            <w:noWrap/>
            <w:hideMark/>
          </w:tcPr>
          <w:p w:rsidR="00080465" w:rsidRPr="001A26EA" w:rsidRDefault="00080465" w:rsidP="00080465"/>
        </w:tc>
        <w:tc>
          <w:tcPr>
            <w:tcW w:w="2478" w:type="dxa"/>
            <w:gridSpan w:val="3"/>
            <w:vMerge/>
            <w:shd w:val="clear" w:color="auto" w:fill="F2F2F2"/>
            <w:hideMark/>
          </w:tcPr>
          <w:p w:rsidR="00080465" w:rsidRPr="001A26EA" w:rsidRDefault="00080465" w:rsidP="00080465"/>
        </w:tc>
        <w:tc>
          <w:tcPr>
            <w:tcW w:w="2999" w:type="dxa"/>
            <w:hideMark/>
          </w:tcPr>
          <w:p w:rsidR="00080465" w:rsidRPr="001A26EA" w:rsidRDefault="00080465" w:rsidP="00080465">
            <w:r w:rsidRPr="001A26EA">
              <w:t>1.11</w:t>
            </w:r>
            <w:r>
              <w:t>:</w:t>
            </w:r>
            <w:r w:rsidRPr="001A26EA">
              <w:t xml:space="preserve"> Number of UNSWAP performance indicators on which UNFPA meets and exceeds requirements</w:t>
            </w:r>
            <w:r w:rsidRPr="001A26EA">
              <w:rPr>
                <w:i/>
                <w:iCs/>
              </w:rPr>
              <w:t xml:space="preserve"> (QCPR)</w:t>
            </w:r>
          </w:p>
        </w:tc>
        <w:tc>
          <w:tcPr>
            <w:tcW w:w="1170" w:type="dxa"/>
            <w:gridSpan w:val="2"/>
            <w:hideMark/>
          </w:tcPr>
          <w:p w:rsidR="00080465" w:rsidRPr="00A855D0" w:rsidRDefault="00080465" w:rsidP="00080465">
            <w:pPr>
              <w:rPr>
                <w:sz w:val="18"/>
              </w:rPr>
            </w:pPr>
            <w:r w:rsidRPr="00A855D0">
              <w:rPr>
                <w:sz w:val="18"/>
              </w:rPr>
              <w:t>Meets: 9</w:t>
            </w:r>
            <w:r w:rsidRPr="00A855D0">
              <w:rPr>
                <w:sz w:val="18"/>
              </w:rPr>
              <w:br/>
              <w:t>Exceeds: 2</w:t>
            </w:r>
          </w:p>
        </w:tc>
        <w:tc>
          <w:tcPr>
            <w:tcW w:w="1021" w:type="dxa"/>
            <w:gridSpan w:val="2"/>
            <w:hideMark/>
          </w:tcPr>
          <w:p w:rsidR="00080465" w:rsidRPr="00A855D0" w:rsidRDefault="00080465" w:rsidP="00080465">
            <w:pPr>
              <w:rPr>
                <w:sz w:val="18"/>
              </w:rPr>
            </w:pPr>
            <w:r w:rsidRPr="00A855D0">
              <w:rPr>
                <w:sz w:val="18"/>
              </w:rPr>
              <w:t>Meets: 10</w:t>
            </w:r>
            <w:r w:rsidRPr="00A855D0">
              <w:rPr>
                <w:sz w:val="18"/>
              </w:rPr>
              <w:br/>
              <w:t>Exceeds: 3</w:t>
            </w:r>
          </w:p>
        </w:tc>
        <w:tc>
          <w:tcPr>
            <w:tcW w:w="886" w:type="dxa"/>
            <w:hideMark/>
          </w:tcPr>
          <w:p w:rsidR="00080465" w:rsidRPr="00A855D0" w:rsidRDefault="00080465" w:rsidP="00080465">
            <w:pPr>
              <w:rPr>
                <w:sz w:val="18"/>
              </w:rPr>
            </w:pPr>
            <w:r w:rsidRPr="00A855D0">
              <w:rPr>
                <w:sz w:val="18"/>
              </w:rPr>
              <w:t>Meets: 8</w:t>
            </w:r>
            <w:r w:rsidRPr="00A855D0">
              <w:rPr>
                <w:sz w:val="18"/>
              </w:rPr>
              <w:br/>
              <w:t>Exceeds: 5</w:t>
            </w:r>
          </w:p>
        </w:tc>
        <w:tc>
          <w:tcPr>
            <w:tcW w:w="886" w:type="dxa"/>
            <w:hideMark/>
          </w:tcPr>
          <w:p w:rsidR="00080465" w:rsidRPr="00A855D0" w:rsidRDefault="00080465" w:rsidP="00080465">
            <w:pPr>
              <w:rPr>
                <w:sz w:val="18"/>
              </w:rPr>
            </w:pPr>
            <w:r w:rsidRPr="00A855D0">
              <w:rPr>
                <w:sz w:val="18"/>
              </w:rPr>
              <w:t>Meets: 8</w:t>
            </w:r>
            <w:r w:rsidRPr="00A855D0">
              <w:rPr>
                <w:sz w:val="18"/>
              </w:rPr>
              <w:br/>
              <w:t>Exceeds: 6</w:t>
            </w:r>
          </w:p>
        </w:tc>
        <w:tc>
          <w:tcPr>
            <w:tcW w:w="886" w:type="dxa"/>
            <w:hideMark/>
          </w:tcPr>
          <w:p w:rsidR="00080465" w:rsidRPr="00A855D0" w:rsidRDefault="00080465" w:rsidP="00080465">
            <w:pPr>
              <w:rPr>
                <w:sz w:val="18"/>
              </w:rPr>
            </w:pPr>
            <w:r w:rsidRPr="00A855D0">
              <w:rPr>
                <w:sz w:val="18"/>
              </w:rPr>
              <w:t>Meets: 8</w:t>
            </w:r>
            <w:r w:rsidRPr="00A855D0">
              <w:rPr>
                <w:sz w:val="18"/>
              </w:rPr>
              <w:br/>
              <w:t>Exceeds: 7</w:t>
            </w:r>
          </w:p>
        </w:tc>
        <w:tc>
          <w:tcPr>
            <w:tcW w:w="1710" w:type="dxa"/>
            <w:hideMark/>
          </w:tcPr>
          <w:p w:rsidR="00080465" w:rsidRPr="001A26EA" w:rsidRDefault="00080465" w:rsidP="00080465">
            <w:r w:rsidRPr="001A26EA">
              <w:t>UNSWAP reporting</w:t>
            </w:r>
          </w:p>
        </w:tc>
      </w:tr>
      <w:tr w:rsidR="00080465" w:rsidRPr="001A26EA" w:rsidTr="00080465">
        <w:trPr>
          <w:trHeight w:val="457"/>
        </w:trPr>
        <w:tc>
          <w:tcPr>
            <w:tcW w:w="1644" w:type="dxa"/>
            <w:gridSpan w:val="2"/>
            <w:vMerge/>
            <w:shd w:val="clear" w:color="auto" w:fill="auto"/>
            <w:noWrap/>
            <w:hideMark/>
          </w:tcPr>
          <w:p w:rsidR="00080465" w:rsidRPr="001A26EA" w:rsidRDefault="00080465" w:rsidP="00080465"/>
        </w:tc>
        <w:tc>
          <w:tcPr>
            <w:tcW w:w="2478" w:type="dxa"/>
            <w:gridSpan w:val="3"/>
            <w:vMerge/>
            <w:shd w:val="clear" w:color="auto" w:fill="F2F2F2"/>
            <w:hideMark/>
          </w:tcPr>
          <w:p w:rsidR="00080465" w:rsidRPr="001A26EA" w:rsidRDefault="00080465" w:rsidP="00080465"/>
        </w:tc>
        <w:tc>
          <w:tcPr>
            <w:tcW w:w="2999" w:type="dxa"/>
            <w:hideMark/>
          </w:tcPr>
          <w:p w:rsidR="00080465" w:rsidRPr="001A26EA" w:rsidRDefault="00080465" w:rsidP="00080465">
            <w:r w:rsidRPr="001A26EA">
              <w:t>1.12</w:t>
            </w:r>
            <w:r>
              <w:t>:</w:t>
            </w:r>
            <w:r w:rsidRPr="001A26EA">
              <w:t xml:space="preserve"> Rating in the Aid Transparency Tracker</w:t>
            </w:r>
            <w:r w:rsidRPr="001A26EA">
              <w:rPr>
                <w:i/>
                <w:iCs/>
              </w:rPr>
              <w:t xml:space="preserve"> (QCPR)</w:t>
            </w:r>
          </w:p>
        </w:tc>
        <w:tc>
          <w:tcPr>
            <w:tcW w:w="1170" w:type="dxa"/>
            <w:gridSpan w:val="2"/>
            <w:hideMark/>
          </w:tcPr>
          <w:p w:rsidR="00080465" w:rsidRPr="00A855D0" w:rsidRDefault="00080465" w:rsidP="00080465">
            <w:pPr>
              <w:rPr>
                <w:sz w:val="18"/>
              </w:rPr>
            </w:pPr>
            <w:r w:rsidRPr="00A855D0">
              <w:rPr>
                <w:sz w:val="18"/>
              </w:rPr>
              <w:t>Unambitious</w:t>
            </w:r>
          </w:p>
        </w:tc>
        <w:tc>
          <w:tcPr>
            <w:tcW w:w="1021" w:type="dxa"/>
            <w:gridSpan w:val="2"/>
            <w:hideMark/>
          </w:tcPr>
          <w:p w:rsidR="00080465" w:rsidRPr="00A855D0" w:rsidRDefault="00080465" w:rsidP="00080465">
            <w:pPr>
              <w:rPr>
                <w:sz w:val="18"/>
              </w:rPr>
            </w:pPr>
            <w:r w:rsidRPr="00A855D0">
              <w:rPr>
                <w:sz w:val="18"/>
              </w:rPr>
              <w:t>Moderately ambitious</w:t>
            </w:r>
          </w:p>
        </w:tc>
        <w:tc>
          <w:tcPr>
            <w:tcW w:w="886" w:type="dxa"/>
            <w:tcMar>
              <w:left w:w="58" w:type="dxa"/>
              <w:right w:w="43" w:type="dxa"/>
            </w:tcMar>
            <w:hideMark/>
          </w:tcPr>
          <w:p w:rsidR="00080465" w:rsidRPr="00A855D0" w:rsidRDefault="00080465" w:rsidP="00080465">
            <w:pPr>
              <w:rPr>
                <w:sz w:val="18"/>
              </w:rPr>
            </w:pPr>
            <w:r w:rsidRPr="00A855D0">
              <w:rPr>
                <w:sz w:val="18"/>
              </w:rPr>
              <w:t xml:space="preserve">Ambitious </w:t>
            </w:r>
          </w:p>
        </w:tc>
        <w:tc>
          <w:tcPr>
            <w:tcW w:w="886" w:type="dxa"/>
            <w:tcMar>
              <w:left w:w="58" w:type="dxa"/>
              <w:right w:w="43" w:type="dxa"/>
            </w:tcMar>
            <w:hideMark/>
          </w:tcPr>
          <w:p w:rsidR="00080465" w:rsidRPr="00A855D0" w:rsidRDefault="00080465" w:rsidP="00080465">
            <w:pPr>
              <w:rPr>
                <w:sz w:val="18"/>
              </w:rPr>
            </w:pPr>
            <w:r w:rsidRPr="00A855D0">
              <w:rPr>
                <w:sz w:val="18"/>
              </w:rPr>
              <w:t>Ambitious</w:t>
            </w:r>
          </w:p>
        </w:tc>
        <w:tc>
          <w:tcPr>
            <w:tcW w:w="886" w:type="dxa"/>
            <w:tcMar>
              <w:left w:w="58" w:type="dxa"/>
              <w:right w:w="43" w:type="dxa"/>
            </w:tcMar>
            <w:hideMark/>
          </w:tcPr>
          <w:p w:rsidR="00080465" w:rsidRPr="00A855D0" w:rsidRDefault="00080465" w:rsidP="00080465">
            <w:pPr>
              <w:rPr>
                <w:sz w:val="18"/>
              </w:rPr>
            </w:pPr>
            <w:r w:rsidRPr="00A855D0">
              <w:rPr>
                <w:sz w:val="18"/>
              </w:rPr>
              <w:t>Ambitious</w:t>
            </w:r>
          </w:p>
        </w:tc>
        <w:tc>
          <w:tcPr>
            <w:tcW w:w="1710" w:type="dxa"/>
            <w:hideMark/>
          </w:tcPr>
          <w:p w:rsidR="00080465" w:rsidRPr="001A26EA" w:rsidRDefault="00080465" w:rsidP="00080465">
            <w:r w:rsidRPr="001A26EA">
              <w:t>Publish What You Fund</w:t>
            </w:r>
          </w:p>
        </w:tc>
      </w:tr>
      <w:tr w:rsidR="00080465" w:rsidRPr="001A26EA" w:rsidTr="00080465">
        <w:trPr>
          <w:trHeight w:val="125"/>
        </w:trPr>
        <w:tc>
          <w:tcPr>
            <w:tcW w:w="1644" w:type="dxa"/>
            <w:gridSpan w:val="2"/>
            <w:vMerge/>
            <w:shd w:val="clear" w:color="auto" w:fill="auto"/>
            <w:noWrap/>
            <w:hideMark/>
          </w:tcPr>
          <w:p w:rsidR="00080465" w:rsidRPr="001A26EA" w:rsidRDefault="00080465" w:rsidP="00080465"/>
        </w:tc>
        <w:tc>
          <w:tcPr>
            <w:tcW w:w="2478" w:type="dxa"/>
            <w:gridSpan w:val="3"/>
            <w:vMerge w:val="restart"/>
            <w:shd w:val="clear" w:color="auto" w:fill="F2F2F2"/>
            <w:hideMark/>
          </w:tcPr>
          <w:p w:rsidR="00080465" w:rsidRPr="001A26EA" w:rsidRDefault="00080465" w:rsidP="00080465">
            <w:r w:rsidRPr="00014B60">
              <w:rPr>
                <w:b/>
              </w:rPr>
              <w:t>Output 2</w:t>
            </w:r>
            <w:r w:rsidRPr="00D918D2">
              <w:t>:</w:t>
            </w:r>
            <w:r w:rsidRPr="001A26EA">
              <w:t xml:space="preserve"> Improved mobilization, managem</w:t>
            </w:r>
            <w:r>
              <w:t>e</w:t>
            </w:r>
            <w:r w:rsidRPr="001A26EA">
              <w:t>nt and alignment of resources through an increased focus on value for money and systematic risk management</w:t>
            </w:r>
          </w:p>
        </w:tc>
        <w:tc>
          <w:tcPr>
            <w:tcW w:w="2999" w:type="dxa"/>
            <w:hideMark/>
          </w:tcPr>
          <w:p w:rsidR="00080465" w:rsidRPr="001A26EA" w:rsidRDefault="00080465" w:rsidP="00080465">
            <w:r w:rsidRPr="001A26EA">
              <w:t>2.1</w:t>
            </w:r>
            <w:r>
              <w:t>:</w:t>
            </w:r>
            <w:r w:rsidRPr="001A26EA">
              <w:t xml:space="preserve"> Size and trend in funding from OECD-DAC countries, non-OECD-DAC countries, and non-government partners (including international financial institutions, regional development banks, civil society, private sector)</w:t>
            </w:r>
            <w:r w:rsidRPr="00CB578F">
              <w:rPr>
                <w:i/>
              </w:rPr>
              <w:t xml:space="preserve"> (shared QCPR)</w:t>
            </w:r>
          </w:p>
        </w:tc>
        <w:tc>
          <w:tcPr>
            <w:tcW w:w="1170" w:type="dxa"/>
            <w:gridSpan w:val="2"/>
            <w:hideMark/>
          </w:tcPr>
          <w:p w:rsidR="00080465" w:rsidRPr="00A855D0" w:rsidRDefault="00080465" w:rsidP="00080465">
            <w:pPr>
              <w:rPr>
                <w:sz w:val="18"/>
              </w:rPr>
            </w:pPr>
            <w:r w:rsidRPr="00A855D0">
              <w:rPr>
                <w:sz w:val="18"/>
              </w:rPr>
              <w:t>Total: $963</w:t>
            </w:r>
            <w:r>
              <w:rPr>
                <w:sz w:val="18"/>
              </w:rPr>
              <w:t xml:space="preserve"> </w:t>
            </w:r>
            <w:r w:rsidRPr="00A855D0">
              <w:rPr>
                <w:sz w:val="18"/>
              </w:rPr>
              <w:t xml:space="preserve">million, including  $437 million for core and $526 million for </w:t>
            </w:r>
            <w:r>
              <w:rPr>
                <w:sz w:val="18"/>
              </w:rPr>
              <w:t>non-core</w:t>
            </w:r>
          </w:p>
        </w:tc>
        <w:tc>
          <w:tcPr>
            <w:tcW w:w="1021" w:type="dxa"/>
            <w:gridSpan w:val="2"/>
            <w:hideMark/>
          </w:tcPr>
          <w:p w:rsidR="00080465" w:rsidRPr="00A855D0" w:rsidRDefault="00080465" w:rsidP="00080465">
            <w:pPr>
              <w:rPr>
                <w:sz w:val="18"/>
              </w:rPr>
            </w:pPr>
            <w:r w:rsidRPr="00A855D0">
              <w:rPr>
                <w:sz w:val="18"/>
              </w:rPr>
              <w:t>Total: $1,018</w:t>
            </w:r>
            <w:r>
              <w:rPr>
                <w:sz w:val="18"/>
              </w:rPr>
              <w:t xml:space="preserve"> </w:t>
            </w:r>
            <w:r w:rsidRPr="00A855D0">
              <w:rPr>
                <w:sz w:val="18"/>
              </w:rPr>
              <w:t xml:space="preserve">million, including $476 million for core and $542 million for </w:t>
            </w:r>
            <w:r>
              <w:rPr>
                <w:sz w:val="18"/>
              </w:rPr>
              <w:t>non-core</w:t>
            </w:r>
          </w:p>
        </w:tc>
        <w:tc>
          <w:tcPr>
            <w:tcW w:w="886" w:type="dxa"/>
            <w:hideMark/>
          </w:tcPr>
          <w:p w:rsidR="00080465" w:rsidRPr="00A855D0" w:rsidRDefault="00080465" w:rsidP="00080465">
            <w:pPr>
              <w:rPr>
                <w:sz w:val="18"/>
              </w:rPr>
            </w:pPr>
            <w:r w:rsidRPr="00A855D0">
              <w:rPr>
                <w:sz w:val="18"/>
              </w:rPr>
              <w:t>Total: $1,051</w:t>
            </w:r>
            <w:r>
              <w:rPr>
                <w:sz w:val="18"/>
              </w:rPr>
              <w:t xml:space="preserve"> </w:t>
            </w:r>
            <w:r w:rsidRPr="00A855D0">
              <w:rPr>
                <w:sz w:val="18"/>
              </w:rPr>
              <w:t xml:space="preserve">million, including $478 million for core and $573 million for </w:t>
            </w:r>
            <w:r>
              <w:rPr>
                <w:sz w:val="18"/>
              </w:rPr>
              <w:t>non-core</w:t>
            </w:r>
          </w:p>
        </w:tc>
        <w:tc>
          <w:tcPr>
            <w:tcW w:w="886" w:type="dxa"/>
            <w:hideMark/>
          </w:tcPr>
          <w:p w:rsidR="00080465" w:rsidRPr="00A855D0" w:rsidRDefault="00080465" w:rsidP="00080465">
            <w:pPr>
              <w:rPr>
                <w:sz w:val="18"/>
              </w:rPr>
            </w:pPr>
            <w:r w:rsidRPr="00A855D0">
              <w:rPr>
                <w:sz w:val="18"/>
              </w:rPr>
              <w:t>Total: $1,093</w:t>
            </w:r>
            <w:r>
              <w:rPr>
                <w:sz w:val="18"/>
              </w:rPr>
              <w:t xml:space="preserve"> </w:t>
            </w:r>
            <w:r w:rsidRPr="00A855D0">
              <w:rPr>
                <w:sz w:val="18"/>
              </w:rPr>
              <w:t xml:space="preserve">million, including $482 million for core and $611 million for </w:t>
            </w:r>
            <w:r>
              <w:rPr>
                <w:sz w:val="18"/>
              </w:rPr>
              <w:t>non-core</w:t>
            </w:r>
          </w:p>
        </w:tc>
        <w:tc>
          <w:tcPr>
            <w:tcW w:w="886" w:type="dxa"/>
            <w:hideMark/>
          </w:tcPr>
          <w:p w:rsidR="00080465" w:rsidRPr="00A855D0" w:rsidRDefault="00080465" w:rsidP="00080465">
            <w:pPr>
              <w:rPr>
                <w:sz w:val="18"/>
              </w:rPr>
            </w:pPr>
            <w:r w:rsidRPr="00A855D0">
              <w:rPr>
                <w:sz w:val="18"/>
              </w:rPr>
              <w:t>Total: $1,142</w:t>
            </w:r>
            <w:r>
              <w:rPr>
                <w:sz w:val="18"/>
              </w:rPr>
              <w:t xml:space="preserve"> </w:t>
            </w:r>
            <w:r w:rsidRPr="00A855D0">
              <w:rPr>
                <w:sz w:val="18"/>
              </w:rPr>
              <w:t xml:space="preserve">million, including $486 million for core and $656 million for </w:t>
            </w:r>
            <w:r>
              <w:rPr>
                <w:sz w:val="18"/>
              </w:rPr>
              <w:t>non-core</w:t>
            </w:r>
          </w:p>
        </w:tc>
        <w:tc>
          <w:tcPr>
            <w:tcW w:w="1710" w:type="dxa"/>
            <w:hideMark/>
          </w:tcPr>
          <w:p w:rsidR="00080465" w:rsidRPr="001A26EA" w:rsidRDefault="00080465" w:rsidP="00080465">
            <w:r>
              <w:t xml:space="preserve">DARTS </w:t>
            </w:r>
            <w:r w:rsidRPr="00D321F7">
              <w:t>and Atlas</w:t>
            </w:r>
          </w:p>
        </w:tc>
      </w:tr>
      <w:tr w:rsidR="00080465" w:rsidRPr="001A26EA" w:rsidTr="00080465">
        <w:trPr>
          <w:trHeight w:val="458"/>
        </w:trPr>
        <w:tc>
          <w:tcPr>
            <w:tcW w:w="1644" w:type="dxa"/>
            <w:gridSpan w:val="2"/>
            <w:vMerge/>
            <w:shd w:val="clear" w:color="auto" w:fill="auto"/>
            <w:noWrap/>
          </w:tcPr>
          <w:p w:rsidR="00080465" w:rsidRPr="001A26EA" w:rsidRDefault="00080465" w:rsidP="00080465"/>
        </w:tc>
        <w:tc>
          <w:tcPr>
            <w:tcW w:w="2478" w:type="dxa"/>
            <w:gridSpan w:val="3"/>
            <w:vMerge/>
            <w:shd w:val="clear" w:color="auto" w:fill="F2F2F2"/>
          </w:tcPr>
          <w:p w:rsidR="00080465" w:rsidRPr="00D918D2" w:rsidRDefault="00080465" w:rsidP="00080465"/>
        </w:tc>
        <w:tc>
          <w:tcPr>
            <w:tcW w:w="2999" w:type="dxa"/>
          </w:tcPr>
          <w:p w:rsidR="00080465" w:rsidRPr="001A26EA" w:rsidRDefault="00080465" w:rsidP="00080465">
            <w:r w:rsidRPr="00D918D2">
              <w:t>2.2</w:t>
            </w:r>
            <w:r>
              <w:t>:</w:t>
            </w:r>
            <w:r w:rsidRPr="00D918D2">
              <w:t xml:space="preserve"> Dollar amount contributed by donors other than the top 15</w:t>
            </w:r>
          </w:p>
        </w:tc>
        <w:tc>
          <w:tcPr>
            <w:tcW w:w="1170" w:type="dxa"/>
            <w:gridSpan w:val="2"/>
          </w:tcPr>
          <w:p w:rsidR="00080465" w:rsidRPr="001A26EA" w:rsidRDefault="00080465" w:rsidP="00080465">
            <w:r w:rsidRPr="00D918D2">
              <w:t>$149 million</w:t>
            </w:r>
          </w:p>
        </w:tc>
        <w:tc>
          <w:tcPr>
            <w:tcW w:w="1021" w:type="dxa"/>
            <w:gridSpan w:val="2"/>
          </w:tcPr>
          <w:p w:rsidR="00080465" w:rsidRPr="001A26EA" w:rsidRDefault="00080465" w:rsidP="00080465">
            <w:r w:rsidRPr="00D918D2">
              <w:t>$164 million</w:t>
            </w:r>
          </w:p>
        </w:tc>
        <w:tc>
          <w:tcPr>
            <w:tcW w:w="886" w:type="dxa"/>
          </w:tcPr>
          <w:p w:rsidR="00080465" w:rsidRPr="001A26EA" w:rsidRDefault="00080465" w:rsidP="00080465">
            <w:r w:rsidRPr="00D918D2">
              <w:t>$172 million</w:t>
            </w:r>
          </w:p>
        </w:tc>
        <w:tc>
          <w:tcPr>
            <w:tcW w:w="886" w:type="dxa"/>
          </w:tcPr>
          <w:p w:rsidR="00080465" w:rsidRPr="001A26EA" w:rsidRDefault="00080465" w:rsidP="00080465">
            <w:r w:rsidRPr="00D918D2">
              <w:t>$181 million</w:t>
            </w:r>
          </w:p>
        </w:tc>
        <w:tc>
          <w:tcPr>
            <w:tcW w:w="886" w:type="dxa"/>
          </w:tcPr>
          <w:p w:rsidR="00080465" w:rsidRPr="001A26EA" w:rsidRDefault="00080465" w:rsidP="00080465">
            <w:r w:rsidRPr="00D918D2">
              <w:t>$190 million</w:t>
            </w:r>
          </w:p>
        </w:tc>
        <w:tc>
          <w:tcPr>
            <w:tcW w:w="1710" w:type="dxa"/>
          </w:tcPr>
          <w:p w:rsidR="00080465" w:rsidRPr="001A26EA" w:rsidDel="00616D34" w:rsidRDefault="00080465" w:rsidP="00080465">
            <w:r>
              <w:t xml:space="preserve">DARTS </w:t>
            </w:r>
            <w:r w:rsidRPr="00D321F7">
              <w:t>and Atlas</w:t>
            </w:r>
          </w:p>
        </w:tc>
      </w:tr>
      <w:tr w:rsidR="00080465" w:rsidRPr="001A26EA" w:rsidTr="00080465">
        <w:trPr>
          <w:trHeight w:val="900"/>
        </w:trPr>
        <w:tc>
          <w:tcPr>
            <w:tcW w:w="1644" w:type="dxa"/>
            <w:gridSpan w:val="2"/>
            <w:vMerge/>
            <w:shd w:val="clear" w:color="auto" w:fill="auto"/>
            <w:noWrap/>
            <w:hideMark/>
          </w:tcPr>
          <w:p w:rsidR="00080465" w:rsidRPr="001A26EA" w:rsidRDefault="00080465" w:rsidP="00080465"/>
        </w:tc>
        <w:tc>
          <w:tcPr>
            <w:tcW w:w="2478" w:type="dxa"/>
            <w:gridSpan w:val="3"/>
            <w:vMerge/>
            <w:shd w:val="clear" w:color="auto" w:fill="F2F2F2"/>
            <w:hideMark/>
          </w:tcPr>
          <w:p w:rsidR="00080465" w:rsidRPr="001A26EA" w:rsidRDefault="00080465" w:rsidP="00080465"/>
        </w:tc>
        <w:tc>
          <w:tcPr>
            <w:tcW w:w="2999" w:type="dxa"/>
            <w:hideMark/>
          </w:tcPr>
          <w:p w:rsidR="00080465" w:rsidRPr="001A26EA" w:rsidRDefault="00080465" w:rsidP="00080465">
            <w:r w:rsidRPr="001A26EA">
              <w:t>2.</w:t>
            </w:r>
            <w:r>
              <w:t>3:</w:t>
            </w:r>
            <w:r w:rsidRPr="001A26EA">
              <w:t xml:space="preserve"> Percentage of total income used for recurring management costs</w:t>
            </w:r>
          </w:p>
        </w:tc>
        <w:tc>
          <w:tcPr>
            <w:tcW w:w="1170" w:type="dxa"/>
            <w:gridSpan w:val="2"/>
            <w:tcMar>
              <w:left w:w="72" w:type="dxa"/>
              <w:right w:w="58" w:type="dxa"/>
            </w:tcMar>
            <w:hideMark/>
          </w:tcPr>
          <w:p w:rsidR="00080465" w:rsidRPr="001A26EA" w:rsidRDefault="00080465" w:rsidP="00080465">
            <w:r w:rsidRPr="001A26EA">
              <w:t>13.1% (budget); 10.8% (actual)</w:t>
            </w:r>
          </w:p>
        </w:tc>
        <w:tc>
          <w:tcPr>
            <w:tcW w:w="1021" w:type="dxa"/>
            <w:gridSpan w:val="2"/>
            <w:hideMark/>
          </w:tcPr>
          <w:p w:rsidR="00080465" w:rsidRPr="001A26EA" w:rsidRDefault="00080465" w:rsidP="00080465">
            <w:r w:rsidRPr="001A26EA">
              <w:t>11.2%</w:t>
            </w:r>
          </w:p>
        </w:tc>
        <w:tc>
          <w:tcPr>
            <w:tcW w:w="886" w:type="dxa"/>
            <w:hideMark/>
          </w:tcPr>
          <w:p w:rsidR="00080465" w:rsidRPr="001A26EA" w:rsidRDefault="00080465" w:rsidP="00080465">
            <w:r w:rsidRPr="001A26EA">
              <w:t>11.2%</w:t>
            </w:r>
          </w:p>
        </w:tc>
        <w:tc>
          <w:tcPr>
            <w:tcW w:w="886" w:type="dxa"/>
            <w:hideMark/>
          </w:tcPr>
          <w:p w:rsidR="00080465" w:rsidRPr="001A26EA" w:rsidRDefault="00080465" w:rsidP="00080465">
            <w:r w:rsidRPr="001A26EA">
              <w:t>11.2%</w:t>
            </w:r>
          </w:p>
        </w:tc>
        <w:tc>
          <w:tcPr>
            <w:tcW w:w="886" w:type="dxa"/>
            <w:hideMark/>
          </w:tcPr>
          <w:p w:rsidR="00080465" w:rsidRPr="001A26EA" w:rsidRDefault="00080465" w:rsidP="00080465">
            <w:r w:rsidRPr="001A26EA">
              <w:t>11.2%</w:t>
            </w:r>
          </w:p>
        </w:tc>
        <w:tc>
          <w:tcPr>
            <w:tcW w:w="1710" w:type="dxa"/>
            <w:hideMark/>
          </w:tcPr>
          <w:p w:rsidR="00080465" w:rsidRPr="001A26EA" w:rsidRDefault="00080465" w:rsidP="00080465">
            <w:r w:rsidRPr="001A26EA">
              <w:t xml:space="preserve">Annual Report </w:t>
            </w:r>
            <w:r>
              <w:t>of the Executive Director</w:t>
            </w:r>
            <w:r w:rsidRPr="001A26EA">
              <w:t xml:space="preserve"> and Financial and Statistical Review</w:t>
            </w:r>
          </w:p>
        </w:tc>
      </w:tr>
      <w:tr w:rsidR="00080465" w:rsidRPr="001A26EA" w:rsidTr="00080465">
        <w:trPr>
          <w:trHeight w:val="404"/>
        </w:trPr>
        <w:tc>
          <w:tcPr>
            <w:tcW w:w="1644" w:type="dxa"/>
            <w:gridSpan w:val="2"/>
            <w:vMerge/>
            <w:shd w:val="clear" w:color="auto" w:fill="auto"/>
            <w:noWrap/>
            <w:hideMark/>
          </w:tcPr>
          <w:p w:rsidR="00080465" w:rsidRPr="001A26EA" w:rsidRDefault="00080465" w:rsidP="00080465"/>
        </w:tc>
        <w:tc>
          <w:tcPr>
            <w:tcW w:w="2478" w:type="dxa"/>
            <w:gridSpan w:val="3"/>
            <w:vMerge/>
            <w:shd w:val="clear" w:color="auto" w:fill="F2F2F2"/>
            <w:hideMark/>
          </w:tcPr>
          <w:p w:rsidR="00080465" w:rsidRPr="001A26EA" w:rsidRDefault="00080465" w:rsidP="00080465"/>
        </w:tc>
        <w:tc>
          <w:tcPr>
            <w:tcW w:w="2999" w:type="dxa"/>
            <w:hideMark/>
          </w:tcPr>
          <w:p w:rsidR="00080465" w:rsidRPr="001A26EA" w:rsidRDefault="00080465" w:rsidP="00080465">
            <w:r w:rsidRPr="001A26EA">
              <w:t>2.</w:t>
            </w:r>
            <w:r>
              <w:t>4:</w:t>
            </w:r>
            <w:r w:rsidRPr="001A26EA">
              <w:t xml:space="preserve"> I</w:t>
            </w:r>
            <w:r>
              <w:t xml:space="preserve">mplementation rate for regular </w:t>
            </w:r>
            <w:r w:rsidRPr="001A26EA">
              <w:t>resources</w:t>
            </w:r>
          </w:p>
        </w:tc>
        <w:tc>
          <w:tcPr>
            <w:tcW w:w="1170" w:type="dxa"/>
            <w:gridSpan w:val="2"/>
            <w:hideMark/>
          </w:tcPr>
          <w:p w:rsidR="00080465" w:rsidRPr="001A26EA" w:rsidRDefault="00080465" w:rsidP="00080465">
            <w:r w:rsidRPr="001A26EA">
              <w:t>91.6%</w:t>
            </w:r>
          </w:p>
        </w:tc>
        <w:tc>
          <w:tcPr>
            <w:tcW w:w="1021" w:type="dxa"/>
            <w:gridSpan w:val="2"/>
            <w:hideMark/>
          </w:tcPr>
          <w:p w:rsidR="00080465" w:rsidRPr="001A26EA" w:rsidRDefault="00080465" w:rsidP="00080465">
            <w:r w:rsidRPr="001A26EA">
              <w:t>97%</w:t>
            </w:r>
          </w:p>
        </w:tc>
        <w:tc>
          <w:tcPr>
            <w:tcW w:w="886" w:type="dxa"/>
            <w:hideMark/>
          </w:tcPr>
          <w:p w:rsidR="00080465" w:rsidRPr="001A26EA" w:rsidRDefault="00080465" w:rsidP="00080465">
            <w:r w:rsidRPr="001A26EA">
              <w:t>97%</w:t>
            </w:r>
          </w:p>
        </w:tc>
        <w:tc>
          <w:tcPr>
            <w:tcW w:w="886" w:type="dxa"/>
            <w:hideMark/>
          </w:tcPr>
          <w:p w:rsidR="00080465" w:rsidRPr="001A26EA" w:rsidRDefault="00080465" w:rsidP="00080465">
            <w:r w:rsidRPr="001A26EA">
              <w:t>97%</w:t>
            </w:r>
          </w:p>
        </w:tc>
        <w:tc>
          <w:tcPr>
            <w:tcW w:w="886" w:type="dxa"/>
            <w:hideMark/>
          </w:tcPr>
          <w:p w:rsidR="00080465" w:rsidRPr="001A26EA" w:rsidRDefault="00080465" w:rsidP="00080465">
            <w:r w:rsidRPr="001A26EA">
              <w:t>97%</w:t>
            </w:r>
          </w:p>
        </w:tc>
        <w:tc>
          <w:tcPr>
            <w:tcW w:w="1710" w:type="dxa"/>
            <w:hideMark/>
          </w:tcPr>
          <w:p w:rsidR="00080465" w:rsidRPr="001A26EA" w:rsidRDefault="00080465" w:rsidP="00080465">
            <w:r w:rsidRPr="001A26EA">
              <w:t xml:space="preserve">Annual Report </w:t>
            </w:r>
            <w:r>
              <w:t xml:space="preserve">of the Executive </w:t>
            </w:r>
            <w:r>
              <w:lastRenderedPageBreak/>
              <w:t>Director</w:t>
            </w:r>
            <w:r w:rsidRPr="001A26EA">
              <w:t xml:space="preserve"> and Financial and Statistical Review</w:t>
            </w:r>
          </w:p>
        </w:tc>
      </w:tr>
      <w:tr w:rsidR="00080465" w:rsidRPr="001A26EA" w:rsidTr="00080465">
        <w:trPr>
          <w:trHeight w:val="900"/>
        </w:trPr>
        <w:tc>
          <w:tcPr>
            <w:tcW w:w="1644" w:type="dxa"/>
            <w:gridSpan w:val="2"/>
            <w:vMerge/>
            <w:shd w:val="clear" w:color="auto" w:fill="auto"/>
            <w:noWrap/>
          </w:tcPr>
          <w:p w:rsidR="00080465" w:rsidRPr="001A26EA" w:rsidRDefault="00080465" w:rsidP="00080465"/>
        </w:tc>
        <w:tc>
          <w:tcPr>
            <w:tcW w:w="2478" w:type="dxa"/>
            <w:gridSpan w:val="3"/>
            <w:vMerge/>
            <w:shd w:val="clear" w:color="auto" w:fill="F2F2F2"/>
          </w:tcPr>
          <w:p w:rsidR="00080465" w:rsidRPr="001A26EA" w:rsidRDefault="00080465" w:rsidP="00080465"/>
        </w:tc>
        <w:tc>
          <w:tcPr>
            <w:tcW w:w="2999" w:type="dxa"/>
          </w:tcPr>
          <w:p w:rsidR="00080465" w:rsidRPr="001A26EA" w:rsidRDefault="00080465" w:rsidP="00080465">
            <w:r w:rsidRPr="00660393">
              <w:t>2.5</w:t>
            </w:r>
            <w:r>
              <w:t>:</w:t>
            </w:r>
            <w:r w:rsidRPr="00660393">
              <w:t xml:space="preserve"> </w:t>
            </w:r>
            <w:r>
              <w:t xml:space="preserve"> </w:t>
            </w:r>
            <w:r w:rsidRPr="002A0475">
              <w:t xml:space="preserve">Percentage of non-core donor agreements expiring in a given year that have spent 95% of </w:t>
            </w:r>
            <w:r>
              <w:t xml:space="preserve">original </w:t>
            </w:r>
            <w:r w:rsidRPr="002A0475">
              <w:t xml:space="preserve">agreement amount by the end of the </w:t>
            </w:r>
            <w:r>
              <w:t xml:space="preserve">original </w:t>
            </w:r>
            <w:r w:rsidRPr="002A0475">
              <w:t xml:space="preserve">agreement </w:t>
            </w:r>
            <w:r>
              <w:t>period</w:t>
            </w:r>
          </w:p>
        </w:tc>
        <w:tc>
          <w:tcPr>
            <w:tcW w:w="1170" w:type="dxa"/>
            <w:gridSpan w:val="2"/>
          </w:tcPr>
          <w:p w:rsidR="00080465" w:rsidRPr="001A26EA" w:rsidRDefault="00080465" w:rsidP="00080465">
            <w:r>
              <w:t>51%</w:t>
            </w:r>
          </w:p>
        </w:tc>
        <w:tc>
          <w:tcPr>
            <w:tcW w:w="1021" w:type="dxa"/>
            <w:gridSpan w:val="2"/>
          </w:tcPr>
          <w:p w:rsidR="00080465" w:rsidRPr="001A26EA" w:rsidRDefault="00080465" w:rsidP="00080465">
            <w:r>
              <w:t>55%</w:t>
            </w:r>
          </w:p>
        </w:tc>
        <w:tc>
          <w:tcPr>
            <w:tcW w:w="886" w:type="dxa"/>
          </w:tcPr>
          <w:p w:rsidR="00080465" w:rsidRPr="001A26EA" w:rsidRDefault="00080465" w:rsidP="00080465">
            <w:r>
              <w:t>57%</w:t>
            </w:r>
          </w:p>
        </w:tc>
        <w:tc>
          <w:tcPr>
            <w:tcW w:w="886" w:type="dxa"/>
          </w:tcPr>
          <w:p w:rsidR="00080465" w:rsidRPr="001A26EA" w:rsidRDefault="00080465" w:rsidP="00080465">
            <w:r>
              <w:t>60%</w:t>
            </w:r>
          </w:p>
        </w:tc>
        <w:tc>
          <w:tcPr>
            <w:tcW w:w="886" w:type="dxa"/>
          </w:tcPr>
          <w:p w:rsidR="00080465" w:rsidRPr="001A26EA" w:rsidRDefault="00080465" w:rsidP="00080465">
            <w:r>
              <w:t>63%</w:t>
            </w:r>
          </w:p>
        </w:tc>
        <w:tc>
          <w:tcPr>
            <w:tcW w:w="1710" w:type="dxa"/>
          </w:tcPr>
          <w:p w:rsidR="00080465" w:rsidRPr="001A26EA" w:rsidRDefault="00080465" w:rsidP="00080465">
            <w:r>
              <w:t>DARTS and COGNOS</w:t>
            </w:r>
          </w:p>
        </w:tc>
      </w:tr>
      <w:tr w:rsidR="00080465" w:rsidRPr="001A26EA" w:rsidTr="00080465">
        <w:trPr>
          <w:trHeight w:val="440"/>
        </w:trPr>
        <w:tc>
          <w:tcPr>
            <w:tcW w:w="1644" w:type="dxa"/>
            <w:gridSpan w:val="2"/>
            <w:vMerge/>
            <w:shd w:val="clear" w:color="auto" w:fill="auto"/>
            <w:noWrap/>
            <w:hideMark/>
          </w:tcPr>
          <w:p w:rsidR="00080465" w:rsidRPr="001A26EA" w:rsidRDefault="00080465" w:rsidP="00080465"/>
        </w:tc>
        <w:tc>
          <w:tcPr>
            <w:tcW w:w="2478" w:type="dxa"/>
            <w:gridSpan w:val="3"/>
            <w:vMerge/>
            <w:shd w:val="clear" w:color="auto" w:fill="F2F2F2"/>
            <w:hideMark/>
          </w:tcPr>
          <w:p w:rsidR="00080465" w:rsidRPr="001A26EA" w:rsidRDefault="00080465" w:rsidP="00080465"/>
        </w:tc>
        <w:tc>
          <w:tcPr>
            <w:tcW w:w="2999" w:type="dxa"/>
            <w:hideMark/>
          </w:tcPr>
          <w:p w:rsidR="00080465" w:rsidRPr="001A26EA" w:rsidRDefault="00080465" w:rsidP="00080465">
            <w:pPr>
              <w:rPr>
                <w:i/>
                <w:iCs/>
              </w:rPr>
            </w:pPr>
            <w:r w:rsidRPr="001A26EA">
              <w:t>2.</w:t>
            </w:r>
            <w:r>
              <w:t>6:</w:t>
            </w:r>
            <w:r w:rsidRPr="001A26EA">
              <w:t xml:space="preserve"> Percentage of total operating fund account advances that are overdue</w:t>
            </w:r>
          </w:p>
        </w:tc>
        <w:tc>
          <w:tcPr>
            <w:tcW w:w="1170" w:type="dxa"/>
            <w:gridSpan w:val="2"/>
            <w:hideMark/>
          </w:tcPr>
          <w:p w:rsidR="00080465" w:rsidRPr="001A26EA" w:rsidRDefault="00080465" w:rsidP="00080465">
            <w:r w:rsidRPr="001A26EA">
              <w:t>3.0%</w:t>
            </w:r>
          </w:p>
        </w:tc>
        <w:tc>
          <w:tcPr>
            <w:tcW w:w="1021" w:type="dxa"/>
            <w:gridSpan w:val="2"/>
            <w:hideMark/>
          </w:tcPr>
          <w:p w:rsidR="00080465" w:rsidRPr="001A26EA" w:rsidRDefault="00080465" w:rsidP="00080465">
            <w:r w:rsidRPr="001A26EA">
              <w:t>6.0%</w:t>
            </w:r>
          </w:p>
        </w:tc>
        <w:tc>
          <w:tcPr>
            <w:tcW w:w="886" w:type="dxa"/>
            <w:hideMark/>
          </w:tcPr>
          <w:p w:rsidR="00080465" w:rsidRPr="001A26EA" w:rsidRDefault="00080465" w:rsidP="00080465">
            <w:r w:rsidRPr="001A26EA">
              <w:t>6.0%</w:t>
            </w:r>
          </w:p>
        </w:tc>
        <w:tc>
          <w:tcPr>
            <w:tcW w:w="886" w:type="dxa"/>
            <w:hideMark/>
          </w:tcPr>
          <w:p w:rsidR="00080465" w:rsidRPr="001A26EA" w:rsidRDefault="00080465" w:rsidP="00080465">
            <w:r w:rsidRPr="001A26EA">
              <w:t>5.0%</w:t>
            </w:r>
          </w:p>
        </w:tc>
        <w:tc>
          <w:tcPr>
            <w:tcW w:w="886" w:type="dxa"/>
            <w:hideMark/>
          </w:tcPr>
          <w:p w:rsidR="00080465" w:rsidRPr="001A26EA" w:rsidRDefault="00080465" w:rsidP="00080465">
            <w:r w:rsidRPr="001A26EA">
              <w:t>5.0%</w:t>
            </w:r>
          </w:p>
        </w:tc>
        <w:tc>
          <w:tcPr>
            <w:tcW w:w="1710" w:type="dxa"/>
            <w:hideMark/>
          </w:tcPr>
          <w:p w:rsidR="00080465" w:rsidRPr="001A26EA" w:rsidRDefault="00080465" w:rsidP="00080465">
            <w:r w:rsidRPr="001A26EA">
              <w:t>Atlas</w:t>
            </w:r>
          </w:p>
        </w:tc>
      </w:tr>
      <w:tr w:rsidR="00080465" w:rsidRPr="001A26EA" w:rsidTr="00080465">
        <w:trPr>
          <w:trHeight w:val="70"/>
        </w:trPr>
        <w:tc>
          <w:tcPr>
            <w:tcW w:w="1644" w:type="dxa"/>
            <w:gridSpan w:val="2"/>
            <w:vMerge/>
            <w:shd w:val="clear" w:color="auto" w:fill="auto"/>
            <w:noWrap/>
            <w:hideMark/>
          </w:tcPr>
          <w:p w:rsidR="00080465" w:rsidRPr="001A26EA" w:rsidRDefault="00080465" w:rsidP="00080465"/>
        </w:tc>
        <w:tc>
          <w:tcPr>
            <w:tcW w:w="2478" w:type="dxa"/>
            <w:gridSpan w:val="3"/>
            <w:vMerge/>
            <w:shd w:val="clear" w:color="auto" w:fill="F2F2F2"/>
            <w:hideMark/>
          </w:tcPr>
          <w:p w:rsidR="00080465" w:rsidRPr="001A26EA" w:rsidRDefault="00080465" w:rsidP="00080465"/>
        </w:tc>
        <w:tc>
          <w:tcPr>
            <w:tcW w:w="2999" w:type="dxa"/>
            <w:hideMark/>
          </w:tcPr>
          <w:p w:rsidR="00080465" w:rsidRPr="001A26EA" w:rsidRDefault="00080465" w:rsidP="00080465">
            <w:r w:rsidRPr="001A26EA">
              <w:t>2.</w:t>
            </w:r>
            <w:r>
              <w:t>7:</w:t>
            </w:r>
            <w:r w:rsidRPr="001A26EA">
              <w:t xml:space="preserve"> Number of country offices that track and report on expenditure using gender markers validated by a quality assurance process</w:t>
            </w:r>
            <w:r w:rsidRPr="001A26EA">
              <w:rPr>
                <w:i/>
                <w:iCs/>
              </w:rPr>
              <w:t xml:space="preserve"> (shared QCPR)</w:t>
            </w:r>
          </w:p>
        </w:tc>
        <w:tc>
          <w:tcPr>
            <w:tcW w:w="1170" w:type="dxa"/>
            <w:gridSpan w:val="2"/>
            <w:hideMark/>
          </w:tcPr>
          <w:p w:rsidR="00080465" w:rsidRPr="001A26EA" w:rsidRDefault="00080465" w:rsidP="00080465">
            <w:r w:rsidRPr="001A26EA">
              <w:t>0</w:t>
            </w:r>
          </w:p>
        </w:tc>
        <w:tc>
          <w:tcPr>
            <w:tcW w:w="1021" w:type="dxa"/>
            <w:gridSpan w:val="2"/>
            <w:hideMark/>
          </w:tcPr>
          <w:p w:rsidR="00080465" w:rsidRPr="001A26EA" w:rsidRDefault="00080465" w:rsidP="00080465">
            <w:r w:rsidRPr="001A26EA">
              <w:t>127</w:t>
            </w:r>
          </w:p>
        </w:tc>
        <w:tc>
          <w:tcPr>
            <w:tcW w:w="886" w:type="dxa"/>
            <w:hideMark/>
          </w:tcPr>
          <w:p w:rsidR="00080465" w:rsidRPr="001A26EA" w:rsidRDefault="00080465" w:rsidP="00080465">
            <w:r w:rsidRPr="001A26EA">
              <w:t>127</w:t>
            </w:r>
          </w:p>
        </w:tc>
        <w:tc>
          <w:tcPr>
            <w:tcW w:w="886" w:type="dxa"/>
            <w:hideMark/>
          </w:tcPr>
          <w:p w:rsidR="00080465" w:rsidRPr="001A26EA" w:rsidRDefault="00080465" w:rsidP="00080465">
            <w:r w:rsidRPr="001A26EA">
              <w:t>127</w:t>
            </w:r>
          </w:p>
        </w:tc>
        <w:tc>
          <w:tcPr>
            <w:tcW w:w="886" w:type="dxa"/>
            <w:hideMark/>
          </w:tcPr>
          <w:p w:rsidR="00080465" w:rsidRPr="001A26EA" w:rsidRDefault="00080465" w:rsidP="00080465">
            <w:r w:rsidRPr="001A26EA">
              <w:t>127</w:t>
            </w:r>
          </w:p>
        </w:tc>
        <w:tc>
          <w:tcPr>
            <w:tcW w:w="1710" w:type="dxa"/>
            <w:hideMark/>
          </w:tcPr>
          <w:p w:rsidR="00080465" w:rsidRPr="001A26EA" w:rsidRDefault="00080465" w:rsidP="00080465">
            <w:r w:rsidRPr="001A26EA">
              <w:t>Global Programming System</w:t>
            </w:r>
          </w:p>
        </w:tc>
      </w:tr>
      <w:tr w:rsidR="00080465" w:rsidRPr="001A26EA" w:rsidTr="00080465">
        <w:trPr>
          <w:trHeight w:val="70"/>
        </w:trPr>
        <w:tc>
          <w:tcPr>
            <w:tcW w:w="1644" w:type="dxa"/>
            <w:gridSpan w:val="2"/>
            <w:vMerge/>
            <w:shd w:val="clear" w:color="auto" w:fill="auto"/>
            <w:noWrap/>
          </w:tcPr>
          <w:p w:rsidR="00080465" w:rsidRPr="001A26EA" w:rsidRDefault="00080465" w:rsidP="00080465"/>
        </w:tc>
        <w:tc>
          <w:tcPr>
            <w:tcW w:w="2478" w:type="dxa"/>
            <w:gridSpan w:val="3"/>
            <w:vMerge/>
            <w:shd w:val="clear" w:color="auto" w:fill="F2F2F2"/>
          </w:tcPr>
          <w:p w:rsidR="00080465" w:rsidRPr="001A26EA" w:rsidRDefault="00080465" w:rsidP="00080465"/>
        </w:tc>
        <w:tc>
          <w:tcPr>
            <w:tcW w:w="2999" w:type="dxa"/>
          </w:tcPr>
          <w:p w:rsidR="00080465" w:rsidRPr="001A26EA" w:rsidRDefault="00080465" w:rsidP="00080465">
            <w:r w:rsidRPr="001A26EA">
              <w:t>2.</w:t>
            </w:r>
            <w:r>
              <w:t>8:</w:t>
            </w:r>
            <w:r w:rsidRPr="001A26EA">
              <w:t xml:space="preserve"> Number of country offices implementing common services, common long-term agreements; harmonized approach to procurement, common human resources management, information and communication technology services or financial management services</w:t>
            </w:r>
            <w:r w:rsidRPr="001A26EA">
              <w:rPr>
                <w:i/>
                <w:iCs/>
              </w:rPr>
              <w:t xml:space="preserve"> (shared QCPR)</w:t>
            </w:r>
          </w:p>
        </w:tc>
        <w:tc>
          <w:tcPr>
            <w:tcW w:w="1170" w:type="dxa"/>
            <w:gridSpan w:val="2"/>
          </w:tcPr>
          <w:p w:rsidR="00080465" w:rsidRPr="001A26EA" w:rsidRDefault="00080465" w:rsidP="00080465">
            <w:r w:rsidRPr="001A26EA">
              <w:t>Not applicable</w:t>
            </w:r>
          </w:p>
        </w:tc>
        <w:tc>
          <w:tcPr>
            <w:tcW w:w="3679" w:type="dxa"/>
            <w:gridSpan w:val="5"/>
          </w:tcPr>
          <w:p w:rsidR="00080465" w:rsidRPr="001A26EA" w:rsidRDefault="00080465" w:rsidP="00080465">
            <w:r w:rsidRPr="001A26EA">
              <w:t>To be set once common approach is agreed across funds and programmes</w:t>
            </w:r>
          </w:p>
        </w:tc>
        <w:tc>
          <w:tcPr>
            <w:tcW w:w="1710" w:type="dxa"/>
          </w:tcPr>
          <w:p w:rsidR="00080465" w:rsidRPr="001A26EA" w:rsidRDefault="00080465" w:rsidP="00080465">
            <w:r w:rsidRPr="001A26EA">
              <w:t>To be determined</w:t>
            </w:r>
          </w:p>
        </w:tc>
      </w:tr>
      <w:tr w:rsidR="00080465" w:rsidRPr="001A26EA" w:rsidTr="00080465">
        <w:trPr>
          <w:trHeight w:val="224"/>
        </w:trPr>
        <w:tc>
          <w:tcPr>
            <w:tcW w:w="1644" w:type="dxa"/>
            <w:gridSpan w:val="2"/>
            <w:vMerge/>
            <w:shd w:val="clear" w:color="auto" w:fill="auto"/>
            <w:noWrap/>
            <w:hideMark/>
          </w:tcPr>
          <w:p w:rsidR="00080465" w:rsidRPr="001A26EA" w:rsidRDefault="00080465" w:rsidP="00080465"/>
        </w:tc>
        <w:tc>
          <w:tcPr>
            <w:tcW w:w="2478" w:type="dxa"/>
            <w:gridSpan w:val="3"/>
            <w:vMerge/>
            <w:shd w:val="clear" w:color="auto" w:fill="F2F2F2"/>
            <w:hideMark/>
          </w:tcPr>
          <w:p w:rsidR="00080465" w:rsidRPr="001A26EA" w:rsidRDefault="00080465" w:rsidP="00080465"/>
        </w:tc>
        <w:tc>
          <w:tcPr>
            <w:tcW w:w="2999" w:type="dxa"/>
            <w:hideMark/>
          </w:tcPr>
          <w:p w:rsidR="00080465" w:rsidRPr="001A26EA" w:rsidRDefault="00080465" w:rsidP="00080465">
            <w:r w:rsidRPr="001A26EA">
              <w:t>2.</w:t>
            </w:r>
            <w:r>
              <w:t>9:</w:t>
            </w:r>
            <w:r w:rsidRPr="001A26EA">
              <w:t xml:space="preserve"> Vacancy rate</w:t>
            </w:r>
          </w:p>
        </w:tc>
        <w:tc>
          <w:tcPr>
            <w:tcW w:w="1170" w:type="dxa"/>
            <w:gridSpan w:val="2"/>
            <w:hideMark/>
          </w:tcPr>
          <w:p w:rsidR="00080465" w:rsidRPr="001A26EA" w:rsidRDefault="00080465" w:rsidP="00080465">
            <w:r w:rsidRPr="001A26EA">
              <w:t>15%</w:t>
            </w:r>
          </w:p>
        </w:tc>
        <w:tc>
          <w:tcPr>
            <w:tcW w:w="1021" w:type="dxa"/>
            <w:gridSpan w:val="2"/>
            <w:hideMark/>
          </w:tcPr>
          <w:p w:rsidR="00080465" w:rsidRPr="001A26EA" w:rsidRDefault="00080465" w:rsidP="00080465">
            <w:r w:rsidRPr="001A26EA">
              <w:t>14%</w:t>
            </w:r>
          </w:p>
        </w:tc>
        <w:tc>
          <w:tcPr>
            <w:tcW w:w="886" w:type="dxa"/>
            <w:hideMark/>
          </w:tcPr>
          <w:p w:rsidR="00080465" w:rsidRPr="001A26EA" w:rsidRDefault="00080465" w:rsidP="00080465">
            <w:r w:rsidRPr="001A26EA">
              <w:t>14%</w:t>
            </w:r>
          </w:p>
        </w:tc>
        <w:tc>
          <w:tcPr>
            <w:tcW w:w="886" w:type="dxa"/>
            <w:hideMark/>
          </w:tcPr>
          <w:p w:rsidR="00080465" w:rsidRPr="001A26EA" w:rsidRDefault="00080465" w:rsidP="00080465">
            <w:r w:rsidRPr="001A26EA">
              <w:t>13%</w:t>
            </w:r>
          </w:p>
        </w:tc>
        <w:tc>
          <w:tcPr>
            <w:tcW w:w="886" w:type="dxa"/>
            <w:hideMark/>
          </w:tcPr>
          <w:p w:rsidR="00080465" w:rsidRPr="001A26EA" w:rsidRDefault="00080465" w:rsidP="00080465">
            <w:r w:rsidRPr="001A26EA">
              <w:t>13%</w:t>
            </w:r>
          </w:p>
        </w:tc>
        <w:tc>
          <w:tcPr>
            <w:tcW w:w="1710" w:type="dxa"/>
            <w:hideMark/>
          </w:tcPr>
          <w:p w:rsidR="00080465" w:rsidRPr="001A26EA" w:rsidRDefault="00080465" w:rsidP="00080465">
            <w:r w:rsidRPr="001A26EA">
              <w:t>Atlas</w:t>
            </w:r>
          </w:p>
        </w:tc>
      </w:tr>
      <w:tr w:rsidR="00080465" w:rsidRPr="001A26EA" w:rsidTr="00080465">
        <w:trPr>
          <w:trHeight w:val="600"/>
        </w:trPr>
        <w:tc>
          <w:tcPr>
            <w:tcW w:w="1644" w:type="dxa"/>
            <w:gridSpan w:val="2"/>
            <w:vMerge/>
            <w:shd w:val="clear" w:color="auto" w:fill="auto"/>
            <w:noWrap/>
            <w:hideMark/>
          </w:tcPr>
          <w:p w:rsidR="00080465" w:rsidRPr="001A26EA" w:rsidRDefault="00080465" w:rsidP="00080465"/>
        </w:tc>
        <w:tc>
          <w:tcPr>
            <w:tcW w:w="2478" w:type="dxa"/>
            <w:gridSpan w:val="3"/>
            <w:vMerge/>
            <w:shd w:val="clear" w:color="auto" w:fill="F2F2F2"/>
            <w:hideMark/>
          </w:tcPr>
          <w:p w:rsidR="00080465" w:rsidRPr="001A26EA" w:rsidRDefault="00080465" w:rsidP="00080465"/>
        </w:tc>
        <w:tc>
          <w:tcPr>
            <w:tcW w:w="2999" w:type="dxa"/>
            <w:hideMark/>
          </w:tcPr>
          <w:p w:rsidR="00080465" w:rsidRPr="001A26EA" w:rsidRDefault="00080465" w:rsidP="00080465">
            <w:r w:rsidRPr="001A26EA">
              <w:t>2.</w:t>
            </w:r>
            <w:r>
              <w:t>10:</w:t>
            </w:r>
            <w:r w:rsidRPr="001A26EA">
              <w:t xml:space="preserve"> Percentage of staff who perceive that UNFPA deals effectively with underperformance</w:t>
            </w:r>
          </w:p>
        </w:tc>
        <w:tc>
          <w:tcPr>
            <w:tcW w:w="1170" w:type="dxa"/>
            <w:gridSpan w:val="2"/>
            <w:hideMark/>
          </w:tcPr>
          <w:p w:rsidR="00080465" w:rsidRPr="001A26EA" w:rsidRDefault="00080465" w:rsidP="00080465">
            <w:r w:rsidRPr="001A26EA">
              <w:t>33%</w:t>
            </w:r>
          </w:p>
        </w:tc>
        <w:tc>
          <w:tcPr>
            <w:tcW w:w="1021" w:type="dxa"/>
            <w:gridSpan w:val="2"/>
            <w:hideMark/>
          </w:tcPr>
          <w:p w:rsidR="00080465" w:rsidRPr="001A26EA" w:rsidRDefault="00080465" w:rsidP="00080465">
            <w:r w:rsidRPr="001A26EA">
              <w:t>36%</w:t>
            </w:r>
          </w:p>
        </w:tc>
        <w:tc>
          <w:tcPr>
            <w:tcW w:w="886" w:type="dxa"/>
            <w:hideMark/>
          </w:tcPr>
          <w:p w:rsidR="00080465" w:rsidRPr="001A26EA" w:rsidRDefault="00080465" w:rsidP="00080465">
            <w:r w:rsidRPr="001A26EA">
              <w:t>Not applicable</w:t>
            </w:r>
          </w:p>
        </w:tc>
        <w:tc>
          <w:tcPr>
            <w:tcW w:w="886" w:type="dxa"/>
            <w:hideMark/>
          </w:tcPr>
          <w:p w:rsidR="00080465" w:rsidRPr="001A26EA" w:rsidRDefault="00080465" w:rsidP="00080465">
            <w:r w:rsidRPr="001A26EA">
              <w:t>38%</w:t>
            </w:r>
          </w:p>
        </w:tc>
        <w:tc>
          <w:tcPr>
            <w:tcW w:w="886" w:type="dxa"/>
            <w:hideMark/>
          </w:tcPr>
          <w:p w:rsidR="00080465" w:rsidRPr="001A26EA" w:rsidRDefault="00080465" w:rsidP="00080465">
            <w:r w:rsidRPr="001A26EA">
              <w:t>Not applicable</w:t>
            </w:r>
          </w:p>
        </w:tc>
        <w:tc>
          <w:tcPr>
            <w:tcW w:w="1710" w:type="dxa"/>
            <w:hideMark/>
          </w:tcPr>
          <w:p w:rsidR="00080465" w:rsidRPr="001A26EA" w:rsidRDefault="00080465" w:rsidP="00080465">
            <w:r w:rsidRPr="001A26EA">
              <w:t>UNFPA Global Staff Surveys</w:t>
            </w:r>
          </w:p>
        </w:tc>
      </w:tr>
      <w:tr w:rsidR="00080465" w:rsidRPr="001A26EA" w:rsidTr="00080465">
        <w:trPr>
          <w:trHeight w:val="900"/>
        </w:trPr>
        <w:tc>
          <w:tcPr>
            <w:tcW w:w="1644" w:type="dxa"/>
            <w:gridSpan w:val="2"/>
            <w:vMerge/>
            <w:shd w:val="clear" w:color="auto" w:fill="auto"/>
            <w:noWrap/>
            <w:hideMark/>
          </w:tcPr>
          <w:p w:rsidR="00080465" w:rsidRPr="001A26EA" w:rsidRDefault="00080465" w:rsidP="00080465"/>
        </w:tc>
        <w:tc>
          <w:tcPr>
            <w:tcW w:w="2478" w:type="dxa"/>
            <w:gridSpan w:val="3"/>
            <w:vMerge/>
            <w:shd w:val="clear" w:color="auto" w:fill="F2F2F2"/>
            <w:hideMark/>
          </w:tcPr>
          <w:p w:rsidR="00080465" w:rsidRPr="001A26EA" w:rsidRDefault="00080465" w:rsidP="00080465"/>
        </w:tc>
        <w:tc>
          <w:tcPr>
            <w:tcW w:w="2999" w:type="dxa"/>
            <w:hideMark/>
          </w:tcPr>
          <w:p w:rsidR="00080465" w:rsidRPr="001A26EA" w:rsidRDefault="00080465" w:rsidP="00080465">
            <w:r w:rsidRPr="001A26EA">
              <w:t>2.</w:t>
            </w:r>
            <w:r>
              <w:t>11:</w:t>
            </w:r>
            <w:r w:rsidRPr="001A26EA">
              <w:t xml:space="preserve"> Percentage of units that have achieved at least 90% of their alignment plans</w:t>
            </w:r>
          </w:p>
        </w:tc>
        <w:tc>
          <w:tcPr>
            <w:tcW w:w="1170" w:type="dxa"/>
            <w:gridSpan w:val="2"/>
            <w:hideMark/>
          </w:tcPr>
          <w:p w:rsidR="00080465" w:rsidRPr="001A26EA" w:rsidRDefault="00080465" w:rsidP="00080465">
            <w:r w:rsidRPr="001A26EA">
              <w:t>Not applicable</w:t>
            </w:r>
          </w:p>
        </w:tc>
        <w:tc>
          <w:tcPr>
            <w:tcW w:w="1021" w:type="dxa"/>
            <w:gridSpan w:val="2"/>
            <w:hideMark/>
          </w:tcPr>
          <w:p w:rsidR="00080465" w:rsidRPr="001A26EA" w:rsidRDefault="00080465" w:rsidP="00080465">
            <w:r w:rsidRPr="001A26EA">
              <w:t>100%</w:t>
            </w:r>
          </w:p>
        </w:tc>
        <w:tc>
          <w:tcPr>
            <w:tcW w:w="886" w:type="dxa"/>
            <w:hideMark/>
          </w:tcPr>
          <w:p w:rsidR="00080465" w:rsidRPr="001A26EA" w:rsidRDefault="00080465" w:rsidP="00080465">
            <w:r w:rsidRPr="001A26EA">
              <w:t>100%</w:t>
            </w:r>
          </w:p>
        </w:tc>
        <w:tc>
          <w:tcPr>
            <w:tcW w:w="886" w:type="dxa"/>
            <w:hideMark/>
          </w:tcPr>
          <w:p w:rsidR="00080465" w:rsidRPr="001A26EA" w:rsidRDefault="00080465" w:rsidP="00080465">
            <w:r w:rsidRPr="001A26EA">
              <w:t>100%</w:t>
            </w:r>
          </w:p>
        </w:tc>
        <w:tc>
          <w:tcPr>
            <w:tcW w:w="886" w:type="dxa"/>
            <w:hideMark/>
          </w:tcPr>
          <w:p w:rsidR="00080465" w:rsidRPr="001A26EA" w:rsidRDefault="00080465" w:rsidP="00080465">
            <w:r w:rsidRPr="001A26EA">
              <w:t>100%</w:t>
            </w:r>
          </w:p>
        </w:tc>
        <w:tc>
          <w:tcPr>
            <w:tcW w:w="1710" w:type="dxa"/>
            <w:hideMark/>
          </w:tcPr>
          <w:p w:rsidR="00080465" w:rsidRPr="001A26EA" w:rsidRDefault="00080465" w:rsidP="00080465">
            <w:r w:rsidRPr="001A26EA">
              <w:t>Country Office, Regional Office, and HQ Annual Reports</w:t>
            </w:r>
          </w:p>
        </w:tc>
      </w:tr>
      <w:tr w:rsidR="00080465" w:rsidRPr="001A26EA" w:rsidTr="00080465">
        <w:trPr>
          <w:trHeight w:val="197"/>
        </w:trPr>
        <w:tc>
          <w:tcPr>
            <w:tcW w:w="1644" w:type="dxa"/>
            <w:gridSpan w:val="2"/>
            <w:vMerge/>
            <w:shd w:val="clear" w:color="auto" w:fill="auto"/>
            <w:noWrap/>
            <w:hideMark/>
          </w:tcPr>
          <w:p w:rsidR="00080465" w:rsidRPr="001A26EA" w:rsidRDefault="00080465" w:rsidP="00080465"/>
        </w:tc>
        <w:tc>
          <w:tcPr>
            <w:tcW w:w="2478" w:type="dxa"/>
            <w:gridSpan w:val="3"/>
            <w:vMerge/>
            <w:shd w:val="clear" w:color="auto" w:fill="F2F2F2"/>
            <w:hideMark/>
          </w:tcPr>
          <w:p w:rsidR="00080465" w:rsidRPr="001A26EA" w:rsidRDefault="00080465" w:rsidP="00080465"/>
        </w:tc>
        <w:tc>
          <w:tcPr>
            <w:tcW w:w="2999" w:type="dxa"/>
            <w:hideMark/>
          </w:tcPr>
          <w:p w:rsidR="00080465" w:rsidRPr="001A26EA" w:rsidRDefault="00080465" w:rsidP="00080465">
            <w:r w:rsidRPr="001A26EA">
              <w:t>2.1</w:t>
            </w:r>
            <w:r>
              <w:t>2:</w:t>
            </w:r>
            <w:r w:rsidRPr="001A26EA">
              <w:t xml:space="preserve"> Percentage of total programme resources expended on Outcome 1</w:t>
            </w:r>
          </w:p>
        </w:tc>
        <w:tc>
          <w:tcPr>
            <w:tcW w:w="1170" w:type="dxa"/>
            <w:gridSpan w:val="2"/>
            <w:hideMark/>
          </w:tcPr>
          <w:p w:rsidR="00080465" w:rsidRPr="001A26EA" w:rsidRDefault="00080465" w:rsidP="00080465">
            <w:r w:rsidRPr="001A26EA">
              <w:t>59%</w:t>
            </w:r>
          </w:p>
        </w:tc>
        <w:tc>
          <w:tcPr>
            <w:tcW w:w="1021" w:type="dxa"/>
            <w:gridSpan w:val="2"/>
            <w:hideMark/>
          </w:tcPr>
          <w:p w:rsidR="00080465" w:rsidRPr="001A26EA" w:rsidRDefault="00080465" w:rsidP="00080465">
            <w:r w:rsidRPr="001A26EA">
              <w:t>63%</w:t>
            </w:r>
          </w:p>
        </w:tc>
        <w:tc>
          <w:tcPr>
            <w:tcW w:w="886" w:type="dxa"/>
            <w:hideMark/>
          </w:tcPr>
          <w:p w:rsidR="00080465" w:rsidRPr="001A26EA" w:rsidRDefault="00080465" w:rsidP="00080465">
            <w:r w:rsidRPr="001A26EA">
              <w:t>65%</w:t>
            </w:r>
          </w:p>
        </w:tc>
        <w:tc>
          <w:tcPr>
            <w:tcW w:w="886" w:type="dxa"/>
            <w:hideMark/>
          </w:tcPr>
          <w:p w:rsidR="00080465" w:rsidRPr="001A26EA" w:rsidRDefault="00080465" w:rsidP="00080465">
            <w:r w:rsidRPr="001A26EA">
              <w:t>68%</w:t>
            </w:r>
          </w:p>
        </w:tc>
        <w:tc>
          <w:tcPr>
            <w:tcW w:w="886" w:type="dxa"/>
            <w:hideMark/>
          </w:tcPr>
          <w:p w:rsidR="00080465" w:rsidRPr="001A26EA" w:rsidRDefault="00080465" w:rsidP="00080465">
            <w:r w:rsidRPr="001A26EA">
              <w:t>70%</w:t>
            </w:r>
          </w:p>
        </w:tc>
        <w:tc>
          <w:tcPr>
            <w:tcW w:w="1710" w:type="dxa"/>
            <w:hideMark/>
          </w:tcPr>
          <w:p w:rsidR="00080465" w:rsidRPr="001A26EA" w:rsidRDefault="00080465" w:rsidP="00080465">
            <w:r>
              <w:t>Atlas</w:t>
            </w:r>
          </w:p>
        </w:tc>
      </w:tr>
      <w:tr w:rsidR="00080465" w:rsidRPr="001A26EA" w:rsidTr="00080465">
        <w:trPr>
          <w:trHeight w:val="615"/>
        </w:trPr>
        <w:tc>
          <w:tcPr>
            <w:tcW w:w="1644" w:type="dxa"/>
            <w:gridSpan w:val="2"/>
            <w:vMerge/>
            <w:shd w:val="clear" w:color="auto" w:fill="auto"/>
            <w:noWrap/>
            <w:hideMark/>
          </w:tcPr>
          <w:p w:rsidR="00080465" w:rsidRPr="001A26EA" w:rsidRDefault="00080465" w:rsidP="00080465"/>
        </w:tc>
        <w:tc>
          <w:tcPr>
            <w:tcW w:w="2478" w:type="dxa"/>
            <w:gridSpan w:val="3"/>
            <w:vMerge/>
            <w:shd w:val="clear" w:color="auto" w:fill="F2F2F2"/>
            <w:hideMark/>
          </w:tcPr>
          <w:p w:rsidR="00080465" w:rsidRPr="001A26EA" w:rsidRDefault="00080465" w:rsidP="00080465"/>
        </w:tc>
        <w:tc>
          <w:tcPr>
            <w:tcW w:w="2999" w:type="dxa"/>
            <w:hideMark/>
          </w:tcPr>
          <w:p w:rsidR="00080465" w:rsidRPr="001A26EA" w:rsidRDefault="00080465" w:rsidP="00080465">
            <w:r w:rsidRPr="001A26EA">
              <w:t>2.1</w:t>
            </w:r>
            <w:r>
              <w:t>3:</w:t>
            </w:r>
            <w:r w:rsidRPr="001A26EA">
              <w:t xml:space="preserve"> Percentage increase in the share of total resources expended on advocacy/policy</w:t>
            </w:r>
          </w:p>
        </w:tc>
        <w:tc>
          <w:tcPr>
            <w:tcW w:w="1170" w:type="dxa"/>
            <w:gridSpan w:val="2"/>
            <w:hideMark/>
          </w:tcPr>
          <w:p w:rsidR="00080465" w:rsidRPr="001A26EA" w:rsidRDefault="00080465" w:rsidP="00080465">
            <w:r w:rsidRPr="001A26EA">
              <w:t>Not applicable</w:t>
            </w:r>
          </w:p>
        </w:tc>
        <w:tc>
          <w:tcPr>
            <w:tcW w:w="1021" w:type="dxa"/>
            <w:gridSpan w:val="2"/>
            <w:hideMark/>
          </w:tcPr>
          <w:p w:rsidR="00080465" w:rsidRPr="001A26EA" w:rsidRDefault="00080465" w:rsidP="00080465">
            <w:r w:rsidRPr="001A26EA">
              <w:t>Not applicable</w:t>
            </w:r>
          </w:p>
        </w:tc>
        <w:tc>
          <w:tcPr>
            <w:tcW w:w="886" w:type="dxa"/>
            <w:hideMark/>
          </w:tcPr>
          <w:p w:rsidR="00080465" w:rsidRPr="001A26EA" w:rsidRDefault="00080465" w:rsidP="00080465">
            <w:r>
              <w:t>4</w:t>
            </w:r>
            <w:r w:rsidRPr="001A26EA">
              <w:t>%</w:t>
            </w:r>
          </w:p>
        </w:tc>
        <w:tc>
          <w:tcPr>
            <w:tcW w:w="886" w:type="dxa"/>
            <w:hideMark/>
          </w:tcPr>
          <w:p w:rsidR="00080465" w:rsidRPr="001A26EA" w:rsidRDefault="00080465" w:rsidP="00080465">
            <w:r>
              <w:t>4</w:t>
            </w:r>
            <w:r w:rsidRPr="001A26EA">
              <w:t>%</w:t>
            </w:r>
          </w:p>
        </w:tc>
        <w:tc>
          <w:tcPr>
            <w:tcW w:w="886" w:type="dxa"/>
            <w:hideMark/>
          </w:tcPr>
          <w:p w:rsidR="00080465" w:rsidRPr="001A26EA" w:rsidRDefault="00080465" w:rsidP="00080465">
            <w:r>
              <w:t>4</w:t>
            </w:r>
            <w:r w:rsidRPr="001A26EA">
              <w:t>%</w:t>
            </w:r>
          </w:p>
        </w:tc>
        <w:tc>
          <w:tcPr>
            <w:tcW w:w="1710" w:type="dxa"/>
            <w:hideMark/>
          </w:tcPr>
          <w:p w:rsidR="00080465" w:rsidRPr="001A26EA" w:rsidRDefault="00080465" w:rsidP="00080465">
            <w:r>
              <w:t>Atlas</w:t>
            </w:r>
          </w:p>
        </w:tc>
      </w:tr>
      <w:tr w:rsidR="00080465" w:rsidRPr="001A26EA" w:rsidTr="00080465">
        <w:trPr>
          <w:trHeight w:val="169"/>
        </w:trPr>
        <w:tc>
          <w:tcPr>
            <w:tcW w:w="1644" w:type="dxa"/>
            <w:gridSpan w:val="2"/>
            <w:vMerge/>
            <w:shd w:val="clear" w:color="auto" w:fill="auto"/>
            <w:noWrap/>
            <w:hideMark/>
          </w:tcPr>
          <w:p w:rsidR="00080465" w:rsidRPr="001A26EA" w:rsidRDefault="00080465" w:rsidP="00080465"/>
        </w:tc>
        <w:tc>
          <w:tcPr>
            <w:tcW w:w="2478" w:type="dxa"/>
            <w:gridSpan w:val="3"/>
            <w:vMerge w:val="restart"/>
            <w:shd w:val="clear" w:color="auto" w:fill="F2F2F2"/>
            <w:hideMark/>
          </w:tcPr>
          <w:p w:rsidR="00080465" w:rsidRPr="001A26EA" w:rsidRDefault="00080465" w:rsidP="00080465">
            <w:r w:rsidRPr="00F43D71">
              <w:rPr>
                <w:b/>
              </w:rPr>
              <w:t xml:space="preserve">Output 3: </w:t>
            </w:r>
            <w:r w:rsidRPr="001A26EA">
              <w:t xml:space="preserve">Increased adaptability </w:t>
            </w:r>
            <w:r>
              <w:t>through innovation, partnership</w:t>
            </w:r>
            <w:r w:rsidRPr="001A26EA">
              <w:t xml:space="preserve"> and communications</w:t>
            </w:r>
          </w:p>
        </w:tc>
        <w:tc>
          <w:tcPr>
            <w:tcW w:w="2999" w:type="dxa"/>
            <w:hideMark/>
          </w:tcPr>
          <w:p w:rsidR="00080465" w:rsidRPr="001A26EA" w:rsidRDefault="00080465" w:rsidP="00080465">
            <w:r w:rsidRPr="001A26EA">
              <w:t>3.</w:t>
            </w:r>
            <w:r>
              <w:t>1:</w:t>
            </w:r>
            <w:r w:rsidRPr="001A26EA">
              <w:t xml:space="preserve"> Percentage of Country and Regional Offices that report on the implementation of comprehensive partnership plans</w:t>
            </w:r>
          </w:p>
        </w:tc>
        <w:tc>
          <w:tcPr>
            <w:tcW w:w="1170" w:type="dxa"/>
            <w:gridSpan w:val="2"/>
            <w:hideMark/>
          </w:tcPr>
          <w:p w:rsidR="00080465" w:rsidRPr="001A26EA" w:rsidRDefault="00080465" w:rsidP="00080465">
            <w:r w:rsidRPr="001A26EA">
              <w:t>Not applicable</w:t>
            </w:r>
          </w:p>
        </w:tc>
        <w:tc>
          <w:tcPr>
            <w:tcW w:w="1021" w:type="dxa"/>
            <w:gridSpan w:val="2"/>
            <w:hideMark/>
          </w:tcPr>
          <w:p w:rsidR="00080465" w:rsidRPr="005C0549" w:rsidRDefault="00080465" w:rsidP="00080465">
            <w:pPr>
              <w:rPr>
                <w:iCs/>
              </w:rPr>
            </w:pPr>
            <w:r w:rsidRPr="005C0549">
              <w:rPr>
                <w:iCs/>
              </w:rPr>
              <w:t>15%</w:t>
            </w:r>
          </w:p>
        </w:tc>
        <w:tc>
          <w:tcPr>
            <w:tcW w:w="886" w:type="dxa"/>
            <w:hideMark/>
          </w:tcPr>
          <w:p w:rsidR="00080465" w:rsidRPr="005C0549" w:rsidRDefault="00080465" w:rsidP="00080465">
            <w:pPr>
              <w:rPr>
                <w:iCs/>
              </w:rPr>
            </w:pPr>
            <w:r w:rsidRPr="005C0549">
              <w:rPr>
                <w:iCs/>
              </w:rPr>
              <w:t>50%</w:t>
            </w:r>
          </w:p>
        </w:tc>
        <w:tc>
          <w:tcPr>
            <w:tcW w:w="886" w:type="dxa"/>
            <w:hideMark/>
          </w:tcPr>
          <w:p w:rsidR="00080465" w:rsidRPr="005C0549" w:rsidRDefault="00080465" w:rsidP="00080465">
            <w:pPr>
              <w:rPr>
                <w:iCs/>
              </w:rPr>
            </w:pPr>
            <w:r w:rsidRPr="005C0549">
              <w:rPr>
                <w:iCs/>
              </w:rPr>
              <w:t>75%</w:t>
            </w:r>
          </w:p>
        </w:tc>
        <w:tc>
          <w:tcPr>
            <w:tcW w:w="886" w:type="dxa"/>
            <w:hideMark/>
          </w:tcPr>
          <w:p w:rsidR="00080465" w:rsidRPr="005C0549" w:rsidRDefault="00080465" w:rsidP="00080465">
            <w:pPr>
              <w:rPr>
                <w:iCs/>
              </w:rPr>
            </w:pPr>
            <w:r w:rsidRPr="005C0549">
              <w:rPr>
                <w:iCs/>
              </w:rPr>
              <w:t>95%</w:t>
            </w:r>
          </w:p>
        </w:tc>
        <w:tc>
          <w:tcPr>
            <w:tcW w:w="1710" w:type="dxa"/>
            <w:hideMark/>
          </w:tcPr>
          <w:p w:rsidR="00080465" w:rsidRPr="001A26EA" w:rsidRDefault="00080465" w:rsidP="00080465">
            <w:r w:rsidRPr="001A26EA">
              <w:t>Country and Regional Office Annual Reports</w:t>
            </w:r>
          </w:p>
        </w:tc>
      </w:tr>
      <w:tr w:rsidR="00080465" w:rsidRPr="001A26EA" w:rsidTr="00080465">
        <w:trPr>
          <w:trHeight w:val="404"/>
        </w:trPr>
        <w:tc>
          <w:tcPr>
            <w:tcW w:w="1644" w:type="dxa"/>
            <w:gridSpan w:val="2"/>
            <w:vMerge/>
            <w:shd w:val="clear" w:color="auto" w:fill="auto"/>
            <w:noWrap/>
          </w:tcPr>
          <w:p w:rsidR="00080465" w:rsidRPr="001A26EA" w:rsidRDefault="00080465" w:rsidP="00080465"/>
        </w:tc>
        <w:tc>
          <w:tcPr>
            <w:tcW w:w="2478" w:type="dxa"/>
            <w:gridSpan w:val="3"/>
            <w:vMerge/>
            <w:shd w:val="clear" w:color="auto" w:fill="F2F2F2"/>
          </w:tcPr>
          <w:p w:rsidR="00080465" w:rsidRPr="001A26EA" w:rsidRDefault="00080465" w:rsidP="00080465"/>
        </w:tc>
        <w:tc>
          <w:tcPr>
            <w:tcW w:w="2999" w:type="dxa"/>
          </w:tcPr>
          <w:p w:rsidR="00080465" w:rsidRPr="001A26EA" w:rsidRDefault="00080465" w:rsidP="00080465">
            <w:r>
              <w:t>3.2:</w:t>
            </w:r>
            <w:r w:rsidRPr="001A26EA">
              <w:t xml:space="preserve"> Number of country offices that are applying the SOPs, or components of it</w:t>
            </w:r>
            <w:r w:rsidRPr="001A26EA">
              <w:rPr>
                <w:i/>
                <w:iCs/>
              </w:rPr>
              <w:t xml:space="preserve"> (shared QCPR)</w:t>
            </w:r>
          </w:p>
        </w:tc>
        <w:tc>
          <w:tcPr>
            <w:tcW w:w="1170" w:type="dxa"/>
            <w:gridSpan w:val="2"/>
          </w:tcPr>
          <w:p w:rsidR="00080465" w:rsidRPr="001A26EA" w:rsidRDefault="00080465" w:rsidP="00080465">
            <w:r w:rsidRPr="001A26EA">
              <w:t>Not applicable</w:t>
            </w:r>
          </w:p>
        </w:tc>
        <w:tc>
          <w:tcPr>
            <w:tcW w:w="3679" w:type="dxa"/>
            <w:gridSpan w:val="5"/>
          </w:tcPr>
          <w:p w:rsidR="00080465" w:rsidRPr="001A26EA" w:rsidRDefault="00080465" w:rsidP="00080465">
            <w:r w:rsidRPr="001A26EA">
              <w:t>To be set once common approach is agreed across funds and programmes</w:t>
            </w:r>
          </w:p>
        </w:tc>
        <w:tc>
          <w:tcPr>
            <w:tcW w:w="1710" w:type="dxa"/>
          </w:tcPr>
          <w:p w:rsidR="00080465" w:rsidRPr="001A26EA" w:rsidRDefault="00080465" w:rsidP="00080465">
            <w:r w:rsidRPr="001A26EA">
              <w:t>Country Office Annual Reports</w:t>
            </w:r>
          </w:p>
        </w:tc>
      </w:tr>
      <w:tr w:rsidR="00080465" w:rsidRPr="001A26EA" w:rsidTr="00080465">
        <w:trPr>
          <w:trHeight w:val="323"/>
        </w:trPr>
        <w:tc>
          <w:tcPr>
            <w:tcW w:w="1644" w:type="dxa"/>
            <w:gridSpan w:val="2"/>
            <w:vMerge/>
            <w:shd w:val="clear" w:color="auto" w:fill="auto"/>
            <w:noWrap/>
          </w:tcPr>
          <w:p w:rsidR="00080465" w:rsidRPr="001A26EA" w:rsidRDefault="00080465" w:rsidP="00080465"/>
        </w:tc>
        <w:tc>
          <w:tcPr>
            <w:tcW w:w="2478" w:type="dxa"/>
            <w:gridSpan w:val="3"/>
            <w:vMerge/>
            <w:shd w:val="clear" w:color="auto" w:fill="F2F2F2"/>
          </w:tcPr>
          <w:p w:rsidR="00080465" w:rsidRPr="001A26EA" w:rsidRDefault="00080465" w:rsidP="00080465"/>
        </w:tc>
        <w:tc>
          <w:tcPr>
            <w:tcW w:w="2999" w:type="dxa"/>
          </w:tcPr>
          <w:p w:rsidR="00080465" w:rsidRPr="001A26EA" w:rsidRDefault="00080465" w:rsidP="00080465">
            <w:r>
              <w:t xml:space="preserve">3.3: </w:t>
            </w:r>
            <w:r w:rsidRPr="001A26EA">
              <w:t>Contribution in cash provided to the resident coordinator system</w:t>
            </w:r>
            <w:r w:rsidRPr="001A26EA">
              <w:rPr>
                <w:i/>
                <w:iCs/>
              </w:rPr>
              <w:t xml:space="preserve"> (shared QCPR)</w:t>
            </w:r>
          </w:p>
        </w:tc>
        <w:tc>
          <w:tcPr>
            <w:tcW w:w="1170" w:type="dxa"/>
            <w:gridSpan w:val="2"/>
          </w:tcPr>
          <w:p w:rsidR="00080465" w:rsidRPr="000F7346" w:rsidRDefault="00080465" w:rsidP="00080465">
            <w:pPr>
              <w:rPr>
                <w:iCs/>
              </w:rPr>
            </w:pPr>
            <w:r>
              <w:rPr>
                <w:iCs/>
              </w:rPr>
              <w:t>Not available</w:t>
            </w:r>
          </w:p>
        </w:tc>
        <w:tc>
          <w:tcPr>
            <w:tcW w:w="1021" w:type="dxa"/>
            <w:gridSpan w:val="2"/>
          </w:tcPr>
          <w:p w:rsidR="00080465" w:rsidRPr="00D918D2" w:rsidRDefault="00080465" w:rsidP="00080465">
            <w:r w:rsidRPr="00D918D2">
              <w:t>US$2.1 million</w:t>
            </w:r>
          </w:p>
        </w:tc>
        <w:tc>
          <w:tcPr>
            <w:tcW w:w="886" w:type="dxa"/>
          </w:tcPr>
          <w:p w:rsidR="00080465" w:rsidRPr="00D918D2" w:rsidRDefault="00080465" w:rsidP="00080465">
            <w:r w:rsidRPr="00D918D2">
              <w:t>US$2.1 million</w:t>
            </w:r>
          </w:p>
        </w:tc>
        <w:tc>
          <w:tcPr>
            <w:tcW w:w="886" w:type="dxa"/>
          </w:tcPr>
          <w:p w:rsidR="00080465" w:rsidRPr="00D918D2" w:rsidRDefault="00080465" w:rsidP="00080465">
            <w:r w:rsidRPr="00D918D2">
              <w:t>US$2.2 million</w:t>
            </w:r>
          </w:p>
        </w:tc>
        <w:tc>
          <w:tcPr>
            <w:tcW w:w="886" w:type="dxa"/>
          </w:tcPr>
          <w:p w:rsidR="00080465" w:rsidRPr="00D918D2" w:rsidRDefault="00080465" w:rsidP="00080465">
            <w:r w:rsidRPr="00D918D2">
              <w:t>US$2.2 million</w:t>
            </w:r>
          </w:p>
        </w:tc>
        <w:tc>
          <w:tcPr>
            <w:tcW w:w="1710" w:type="dxa"/>
          </w:tcPr>
          <w:p w:rsidR="00080465" w:rsidRPr="00223D5F" w:rsidRDefault="00080465" w:rsidP="00080465">
            <w:r w:rsidRPr="00223D5F">
              <w:rPr>
                <w:sz w:val="22"/>
                <w:szCs w:val="22"/>
              </w:rPr>
              <w:t>Atlas</w:t>
            </w:r>
          </w:p>
        </w:tc>
      </w:tr>
      <w:tr w:rsidR="00080465" w:rsidRPr="001A26EA" w:rsidTr="00080465">
        <w:trPr>
          <w:trHeight w:val="431"/>
        </w:trPr>
        <w:tc>
          <w:tcPr>
            <w:tcW w:w="1644" w:type="dxa"/>
            <w:gridSpan w:val="2"/>
            <w:vMerge/>
            <w:shd w:val="clear" w:color="auto" w:fill="auto"/>
            <w:noWrap/>
          </w:tcPr>
          <w:p w:rsidR="00080465" w:rsidRPr="001A26EA" w:rsidRDefault="00080465" w:rsidP="00080465"/>
        </w:tc>
        <w:tc>
          <w:tcPr>
            <w:tcW w:w="2478" w:type="dxa"/>
            <w:gridSpan w:val="3"/>
            <w:vMerge/>
            <w:shd w:val="clear" w:color="auto" w:fill="F2F2F2"/>
          </w:tcPr>
          <w:p w:rsidR="00080465" w:rsidRPr="001A26EA" w:rsidRDefault="00080465" w:rsidP="00080465"/>
        </w:tc>
        <w:tc>
          <w:tcPr>
            <w:tcW w:w="2999" w:type="dxa"/>
          </w:tcPr>
          <w:p w:rsidR="00080465" w:rsidRPr="001A26EA" w:rsidRDefault="00080465" w:rsidP="00080465">
            <w:r>
              <w:t>3.4:</w:t>
            </w:r>
            <w:r w:rsidRPr="001A26EA">
              <w:t xml:space="preserve"> Contribution in kind provided to the resident coordinator system</w:t>
            </w:r>
            <w:r w:rsidRPr="001A26EA">
              <w:rPr>
                <w:i/>
                <w:iCs/>
              </w:rPr>
              <w:t xml:space="preserve"> (shared QCPR)</w:t>
            </w:r>
          </w:p>
        </w:tc>
        <w:tc>
          <w:tcPr>
            <w:tcW w:w="1170" w:type="dxa"/>
            <w:gridSpan w:val="2"/>
          </w:tcPr>
          <w:p w:rsidR="00080465" w:rsidRPr="001A26EA" w:rsidRDefault="00080465" w:rsidP="00080465">
            <w:pPr>
              <w:rPr>
                <w:i/>
                <w:iCs/>
              </w:rPr>
            </w:pPr>
            <w:r w:rsidRPr="001A26EA">
              <w:t>Not applicable</w:t>
            </w:r>
            <w:r w:rsidRPr="001A26EA" w:rsidDel="000B7750">
              <w:rPr>
                <w:i/>
                <w:iCs/>
              </w:rPr>
              <w:t xml:space="preserve"> </w:t>
            </w:r>
          </w:p>
        </w:tc>
        <w:tc>
          <w:tcPr>
            <w:tcW w:w="3679" w:type="dxa"/>
            <w:gridSpan w:val="5"/>
          </w:tcPr>
          <w:p w:rsidR="00080465" w:rsidRPr="001A26EA" w:rsidRDefault="00080465" w:rsidP="00080465">
            <w:pPr>
              <w:rPr>
                <w:i/>
                <w:iCs/>
              </w:rPr>
            </w:pPr>
            <w:r w:rsidRPr="000B7452">
              <w:t xml:space="preserve">To be set once common approach is agreed across funds </w:t>
            </w:r>
            <w:r>
              <w:t>and programmes</w:t>
            </w:r>
          </w:p>
        </w:tc>
        <w:tc>
          <w:tcPr>
            <w:tcW w:w="1710" w:type="dxa"/>
          </w:tcPr>
          <w:p w:rsidR="00080465" w:rsidRPr="001A26EA" w:rsidRDefault="00080465" w:rsidP="00080465">
            <w:r>
              <w:t>To be determined</w:t>
            </w:r>
          </w:p>
        </w:tc>
      </w:tr>
      <w:tr w:rsidR="00080465" w:rsidRPr="001A26EA" w:rsidTr="00080465">
        <w:trPr>
          <w:trHeight w:val="77"/>
        </w:trPr>
        <w:tc>
          <w:tcPr>
            <w:tcW w:w="1644" w:type="dxa"/>
            <w:gridSpan w:val="2"/>
            <w:vMerge/>
            <w:shd w:val="clear" w:color="auto" w:fill="auto"/>
            <w:noWrap/>
          </w:tcPr>
          <w:p w:rsidR="00080465" w:rsidRPr="001A26EA" w:rsidRDefault="00080465" w:rsidP="00080465"/>
        </w:tc>
        <w:tc>
          <w:tcPr>
            <w:tcW w:w="2478" w:type="dxa"/>
            <w:gridSpan w:val="3"/>
            <w:vMerge/>
            <w:shd w:val="clear" w:color="auto" w:fill="F2F2F2"/>
          </w:tcPr>
          <w:p w:rsidR="00080465" w:rsidRPr="001A26EA" w:rsidRDefault="00080465" w:rsidP="00080465"/>
        </w:tc>
        <w:tc>
          <w:tcPr>
            <w:tcW w:w="2999" w:type="dxa"/>
          </w:tcPr>
          <w:p w:rsidR="00080465" w:rsidRPr="001A26EA" w:rsidRDefault="00080465" w:rsidP="00080465">
            <w:r>
              <w:t>3.5:</w:t>
            </w:r>
            <w:r w:rsidRPr="008F1A7D">
              <w:t xml:space="preserve"> Number of mentions of UNFPA in the media</w:t>
            </w:r>
          </w:p>
        </w:tc>
        <w:tc>
          <w:tcPr>
            <w:tcW w:w="1170" w:type="dxa"/>
            <w:gridSpan w:val="2"/>
          </w:tcPr>
          <w:p w:rsidR="00080465" w:rsidRPr="001A26EA" w:rsidDel="000B7750" w:rsidRDefault="00080465" w:rsidP="00080465">
            <w:pPr>
              <w:rPr>
                <w:i/>
                <w:iCs/>
              </w:rPr>
            </w:pPr>
            <w:r>
              <w:t xml:space="preserve">3,000 </w:t>
            </w:r>
          </w:p>
        </w:tc>
        <w:tc>
          <w:tcPr>
            <w:tcW w:w="1021" w:type="dxa"/>
            <w:gridSpan w:val="2"/>
          </w:tcPr>
          <w:p w:rsidR="00080465" w:rsidRPr="000B7452" w:rsidRDefault="00080465" w:rsidP="00080465">
            <w:r>
              <w:t xml:space="preserve">3,200 </w:t>
            </w:r>
          </w:p>
        </w:tc>
        <w:tc>
          <w:tcPr>
            <w:tcW w:w="886" w:type="dxa"/>
          </w:tcPr>
          <w:p w:rsidR="00080465" w:rsidRPr="000B7452" w:rsidRDefault="00080465" w:rsidP="00080465">
            <w:r>
              <w:t>3,300</w:t>
            </w:r>
          </w:p>
        </w:tc>
        <w:tc>
          <w:tcPr>
            <w:tcW w:w="886" w:type="dxa"/>
          </w:tcPr>
          <w:p w:rsidR="00080465" w:rsidRPr="000B7452" w:rsidRDefault="00080465" w:rsidP="00080465">
            <w:r>
              <w:t>3,400</w:t>
            </w:r>
          </w:p>
        </w:tc>
        <w:tc>
          <w:tcPr>
            <w:tcW w:w="886" w:type="dxa"/>
          </w:tcPr>
          <w:p w:rsidR="00080465" w:rsidRPr="000B7452" w:rsidRDefault="00080465" w:rsidP="00080465">
            <w:r>
              <w:t>3,500</w:t>
            </w:r>
          </w:p>
        </w:tc>
        <w:tc>
          <w:tcPr>
            <w:tcW w:w="1710" w:type="dxa"/>
          </w:tcPr>
          <w:p w:rsidR="00080465" w:rsidRPr="001A26EA" w:rsidDel="000B7750" w:rsidRDefault="00080465" w:rsidP="00080465">
            <w:r>
              <w:t>Lexis-Nexis</w:t>
            </w:r>
          </w:p>
        </w:tc>
      </w:tr>
      <w:tr w:rsidR="00080465" w:rsidRPr="001A26EA" w:rsidTr="00080465">
        <w:trPr>
          <w:trHeight w:val="64"/>
        </w:trPr>
        <w:tc>
          <w:tcPr>
            <w:tcW w:w="1644" w:type="dxa"/>
            <w:gridSpan w:val="2"/>
            <w:vMerge/>
            <w:shd w:val="clear" w:color="auto" w:fill="auto"/>
            <w:noWrap/>
          </w:tcPr>
          <w:p w:rsidR="00080465" w:rsidRPr="001A26EA" w:rsidRDefault="00080465" w:rsidP="00080465"/>
        </w:tc>
        <w:tc>
          <w:tcPr>
            <w:tcW w:w="2478" w:type="dxa"/>
            <w:gridSpan w:val="3"/>
            <w:vMerge/>
            <w:shd w:val="clear" w:color="auto" w:fill="F2F2F2"/>
          </w:tcPr>
          <w:p w:rsidR="00080465" w:rsidRPr="001A26EA" w:rsidRDefault="00080465" w:rsidP="00080465"/>
        </w:tc>
        <w:tc>
          <w:tcPr>
            <w:tcW w:w="2999" w:type="dxa"/>
          </w:tcPr>
          <w:p w:rsidR="00080465" w:rsidRPr="001A26EA" w:rsidRDefault="00080465" w:rsidP="00080465">
            <w:r w:rsidRPr="001A26EA" w:rsidDel="000B7750">
              <w:t>3.</w:t>
            </w:r>
            <w:r>
              <w:t>6:</w:t>
            </w:r>
            <w:r w:rsidRPr="001A26EA" w:rsidDel="000B7750">
              <w:t xml:space="preserve"> Number of visitors to UNFPA website and number of followers on social media</w:t>
            </w:r>
          </w:p>
        </w:tc>
        <w:tc>
          <w:tcPr>
            <w:tcW w:w="1170" w:type="dxa"/>
            <w:gridSpan w:val="2"/>
            <w:tcMar>
              <w:left w:w="72" w:type="dxa"/>
              <w:right w:w="58" w:type="dxa"/>
            </w:tcMar>
          </w:tcPr>
          <w:p w:rsidR="00080465" w:rsidRPr="00A855D0" w:rsidRDefault="00080465" w:rsidP="00080465">
            <w:pPr>
              <w:rPr>
                <w:sz w:val="18"/>
              </w:rPr>
            </w:pPr>
            <w:r w:rsidRPr="00A855D0" w:rsidDel="000B7750">
              <w:rPr>
                <w:sz w:val="18"/>
              </w:rPr>
              <w:t xml:space="preserve">Website: 1 million unique visitors; Twitter  17,000 followers;  Facebook  18,500 </w:t>
            </w:r>
          </w:p>
          <w:p w:rsidR="00080465" w:rsidRPr="00A855D0" w:rsidRDefault="00080465" w:rsidP="00080465">
            <w:pPr>
              <w:rPr>
                <w:sz w:val="18"/>
              </w:rPr>
            </w:pPr>
            <w:r w:rsidRPr="00A855D0" w:rsidDel="000B7750">
              <w:rPr>
                <w:sz w:val="18"/>
              </w:rPr>
              <w:t>followers</w:t>
            </w:r>
          </w:p>
        </w:tc>
        <w:tc>
          <w:tcPr>
            <w:tcW w:w="1021" w:type="dxa"/>
            <w:gridSpan w:val="2"/>
            <w:tcMar>
              <w:left w:w="72" w:type="dxa"/>
              <w:right w:w="58" w:type="dxa"/>
            </w:tcMar>
          </w:tcPr>
          <w:p w:rsidR="00080465" w:rsidRPr="00A855D0" w:rsidRDefault="00080465" w:rsidP="00080465">
            <w:pPr>
              <w:rPr>
                <w:sz w:val="18"/>
              </w:rPr>
            </w:pPr>
            <w:r w:rsidRPr="00A855D0" w:rsidDel="000B7750">
              <w:rPr>
                <w:sz w:val="18"/>
              </w:rPr>
              <w:t>Website: 1</w:t>
            </w:r>
            <w:r w:rsidRPr="00A855D0">
              <w:rPr>
                <w:sz w:val="18"/>
              </w:rPr>
              <w:t>.4</w:t>
            </w:r>
            <w:r w:rsidRPr="00A855D0" w:rsidDel="000B7750">
              <w:rPr>
                <w:sz w:val="18"/>
              </w:rPr>
              <w:t xml:space="preserve"> million unique visitors; Twitter  </w:t>
            </w:r>
            <w:r w:rsidRPr="00A855D0">
              <w:rPr>
                <w:sz w:val="18"/>
              </w:rPr>
              <w:t>50</w:t>
            </w:r>
            <w:r w:rsidRPr="00A855D0" w:rsidDel="000B7750">
              <w:rPr>
                <w:sz w:val="18"/>
              </w:rPr>
              <w:t xml:space="preserve">,000 followers;  Facebook  </w:t>
            </w:r>
            <w:r w:rsidRPr="00A855D0">
              <w:rPr>
                <w:sz w:val="18"/>
              </w:rPr>
              <w:t>180,0</w:t>
            </w:r>
            <w:r w:rsidRPr="00A855D0" w:rsidDel="000B7750">
              <w:rPr>
                <w:sz w:val="18"/>
              </w:rPr>
              <w:t>00 followers</w:t>
            </w:r>
          </w:p>
        </w:tc>
        <w:tc>
          <w:tcPr>
            <w:tcW w:w="886" w:type="dxa"/>
            <w:tcMar>
              <w:left w:w="72" w:type="dxa"/>
              <w:right w:w="58" w:type="dxa"/>
            </w:tcMar>
          </w:tcPr>
          <w:p w:rsidR="00080465" w:rsidRPr="00A855D0" w:rsidRDefault="00080465" w:rsidP="00080465">
            <w:pPr>
              <w:rPr>
                <w:sz w:val="18"/>
              </w:rPr>
            </w:pPr>
            <w:r w:rsidRPr="00A855D0">
              <w:rPr>
                <w:sz w:val="18"/>
              </w:rPr>
              <w:t>Website: 1.6 million unique visitors; Twitter  80,000 followers;  Facebook  360,000 followers</w:t>
            </w:r>
          </w:p>
        </w:tc>
        <w:tc>
          <w:tcPr>
            <w:tcW w:w="886" w:type="dxa"/>
            <w:tcMar>
              <w:left w:w="72" w:type="dxa"/>
              <w:right w:w="58" w:type="dxa"/>
            </w:tcMar>
          </w:tcPr>
          <w:p w:rsidR="00080465" w:rsidRPr="00A855D0" w:rsidRDefault="00080465" w:rsidP="00080465">
            <w:pPr>
              <w:rPr>
                <w:sz w:val="18"/>
              </w:rPr>
            </w:pPr>
            <w:r w:rsidRPr="00A855D0">
              <w:rPr>
                <w:sz w:val="18"/>
              </w:rPr>
              <w:t>Website: 1.8 million unique visitors; Twitter  140,000 followers;  Facebook  720,000 followers</w:t>
            </w:r>
          </w:p>
        </w:tc>
        <w:tc>
          <w:tcPr>
            <w:tcW w:w="886" w:type="dxa"/>
            <w:tcMar>
              <w:left w:w="72" w:type="dxa"/>
              <w:right w:w="58" w:type="dxa"/>
            </w:tcMar>
          </w:tcPr>
          <w:p w:rsidR="00080465" w:rsidRPr="00A855D0" w:rsidRDefault="00080465" w:rsidP="00080465">
            <w:pPr>
              <w:rPr>
                <w:sz w:val="18"/>
              </w:rPr>
            </w:pPr>
            <w:r w:rsidRPr="00A855D0">
              <w:rPr>
                <w:sz w:val="18"/>
              </w:rPr>
              <w:t>Website: 2 million unique visitors; Twitter  260,000 followers;  Facebook  1,420,000 followers</w:t>
            </w:r>
          </w:p>
          <w:p w:rsidR="00080465" w:rsidRPr="00A855D0" w:rsidRDefault="00080465" w:rsidP="00080465">
            <w:pPr>
              <w:rPr>
                <w:sz w:val="18"/>
              </w:rPr>
            </w:pPr>
          </w:p>
        </w:tc>
        <w:tc>
          <w:tcPr>
            <w:tcW w:w="1710" w:type="dxa"/>
          </w:tcPr>
          <w:p w:rsidR="00080465" w:rsidRPr="00D918D2" w:rsidRDefault="00080465" w:rsidP="00080465">
            <w:r w:rsidRPr="00D918D2">
              <w:t>Google Analytics, Twitter and Facebook</w:t>
            </w:r>
          </w:p>
          <w:p w:rsidR="00080465" w:rsidRDefault="00080465" w:rsidP="00080465"/>
        </w:tc>
      </w:tr>
    </w:tbl>
    <w:p w:rsidR="00080465" w:rsidRPr="00080465" w:rsidRDefault="00080465" w:rsidP="00080465">
      <w:pPr>
        <w:rPr>
          <w:lang w:eastAsia="x-none"/>
        </w:rPr>
      </w:pPr>
    </w:p>
    <w:p w:rsidR="004600F9" w:rsidRDefault="004600F9" w:rsidP="004600F9">
      <w:pPr>
        <w:ind w:left="1080" w:right="720"/>
        <w:jc w:val="both"/>
      </w:pPr>
    </w:p>
    <w:p w:rsidR="004600F9" w:rsidRDefault="004600F9"/>
    <w:p w:rsidR="004600F9" w:rsidRDefault="004600F9"/>
    <w:sectPr w:rsidR="004600F9" w:rsidSect="002E02F3">
      <w:headerReference w:type="even" r:id="rId15"/>
      <w:headerReference w:type="default" r:id="rId16"/>
      <w:pgSz w:w="15840" w:h="12240" w:orient="landscape"/>
      <w:pgMar w:top="1440" w:right="1728" w:bottom="1440" w:left="144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F31" w:rsidRDefault="00912F31" w:rsidP="008121D3">
      <w:r>
        <w:separator/>
      </w:r>
    </w:p>
  </w:endnote>
  <w:endnote w:type="continuationSeparator" w:id="0">
    <w:p w:rsidR="00912F31" w:rsidRDefault="00912F31" w:rsidP="0081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ヒラギノ角ゴ Pro W3">
    <w:panose1 w:val="00000000000000000000"/>
    <w:charset w:val="80"/>
    <w:family w:val="auto"/>
    <w:notTrueType/>
    <w:pitch w:val="variable"/>
    <w:sig w:usb0="01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10" w:rsidRDefault="000E5B10" w:rsidP="008121D3">
    <w:pPr>
      <w:pStyle w:val="Footer"/>
      <w:rPr>
        <w:rStyle w:val="PageNumber"/>
        <w:b/>
        <w:bCs/>
        <w:sz w:val="18"/>
      </w:rPr>
    </w:pPr>
    <w:r>
      <w:rPr>
        <w:rStyle w:val="PageNumber"/>
        <w:b/>
        <w:bCs/>
        <w:sz w:val="18"/>
      </w:rPr>
      <w:fldChar w:fldCharType="begin"/>
    </w:r>
    <w:r>
      <w:rPr>
        <w:rStyle w:val="PageNumber"/>
        <w:bCs/>
        <w:sz w:val="18"/>
      </w:rPr>
      <w:instrText xml:space="preserve">PAGE  </w:instrText>
    </w:r>
    <w:r>
      <w:rPr>
        <w:rStyle w:val="PageNumber"/>
        <w:b/>
        <w:bCs/>
        <w:sz w:val="18"/>
      </w:rPr>
      <w:fldChar w:fldCharType="separate"/>
    </w:r>
    <w:r w:rsidR="003D3D7B">
      <w:rPr>
        <w:rStyle w:val="PageNumber"/>
        <w:bCs/>
        <w:noProof/>
        <w:sz w:val="18"/>
      </w:rPr>
      <w:t>16</w:t>
    </w:r>
    <w:r>
      <w:rPr>
        <w:rStyle w:val="PageNumber"/>
        <w:b/>
        <w:bCs/>
        <w:sz w:val="18"/>
      </w:rPr>
      <w:fldChar w:fldCharType="end"/>
    </w:r>
  </w:p>
  <w:p w:rsidR="000E5B10" w:rsidRDefault="000E5B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55734"/>
      <w:docPartObj>
        <w:docPartGallery w:val="Page Numbers (Bottom of Page)"/>
        <w:docPartUnique/>
      </w:docPartObj>
    </w:sdtPr>
    <w:sdtEndPr>
      <w:rPr>
        <w:noProof/>
      </w:rPr>
    </w:sdtEndPr>
    <w:sdtContent>
      <w:p w:rsidR="000E5B10" w:rsidRDefault="000E5B10">
        <w:pPr>
          <w:pStyle w:val="Footer"/>
          <w:jc w:val="right"/>
        </w:pPr>
        <w:r>
          <w:fldChar w:fldCharType="begin"/>
        </w:r>
        <w:r>
          <w:instrText xml:space="preserve"> PAGE   \* MERGEFORMAT </w:instrText>
        </w:r>
        <w:r>
          <w:fldChar w:fldCharType="separate"/>
        </w:r>
        <w:r w:rsidR="003D3D7B">
          <w:rPr>
            <w:noProof/>
          </w:rPr>
          <w:t>17</w:t>
        </w:r>
        <w:r>
          <w:rPr>
            <w:noProof/>
          </w:rPr>
          <w:fldChar w:fldCharType="end"/>
        </w:r>
      </w:p>
    </w:sdtContent>
  </w:sdt>
  <w:p w:rsidR="000E5B10" w:rsidRDefault="000E5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F31" w:rsidRDefault="00912F31" w:rsidP="008121D3">
      <w:r>
        <w:separator/>
      </w:r>
    </w:p>
  </w:footnote>
  <w:footnote w:type="continuationSeparator" w:id="0">
    <w:p w:rsidR="00912F31" w:rsidRDefault="00912F31" w:rsidP="00812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10" w:rsidRPr="009703FE" w:rsidRDefault="000E5B10" w:rsidP="008121D3">
    <w:pPr>
      <w:pStyle w:val="Header"/>
      <w:tabs>
        <w:tab w:val="clear" w:pos="4320"/>
        <w:tab w:val="clear" w:pos="8640"/>
        <w:tab w:val="left" w:pos="1008"/>
        <w:tab w:val="left" w:pos="7200"/>
      </w:tabs>
      <w:spacing w:line="360" w:lineRule="auto"/>
      <w:ind w:left="-90" w:right="-90"/>
      <w:rPr>
        <w:b/>
        <w:bCs/>
        <w:sz w:val="18"/>
      </w:rPr>
    </w:pPr>
    <w:r>
      <w:rPr>
        <w:b/>
        <w:bCs/>
        <w:sz w:val="18"/>
        <w:lang w:val="en-GB"/>
      </w:rPr>
      <w:t>Annex 1</w:t>
    </w:r>
    <w:r w:rsidR="006304DA">
      <w:rPr>
        <w:b/>
        <w:bCs/>
        <w:sz w:val="18"/>
        <w:lang w:val="en-GB"/>
      </w:rPr>
      <w:t xml:space="preserve"> to the UNFPA Strategic Plan, 2014-2017</w:t>
    </w:r>
  </w:p>
  <w:p w:rsidR="000E5B10" w:rsidRDefault="000E5B10" w:rsidP="00BB712F">
    <w:pPr>
      <w:pStyle w:val="Header"/>
      <w:tabs>
        <w:tab w:val="clear" w:pos="4320"/>
        <w:tab w:val="clear" w:pos="8640"/>
        <w:tab w:val="left" w:pos="720"/>
      </w:tabs>
      <w:spacing w:line="360" w:lineRule="auto"/>
      <w:jc w:val="both"/>
    </w:pPr>
    <w:r>
      <w:rPr>
        <w:b/>
        <w:bCs/>
        <w:noProof/>
        <w:lang w:val="en-US" w:eastAsia="en-US"/>
      </w:rPr>
      <mc:AlternateContent>
        <mc:Choice Requires="wps">
          <w:drawing>
            <wp:anchor distT="4294967295" distB="4294967295" distL="114300" distR="114300" simplePos="0" relativeHeight="251659264" behindDoc="0" locked="0" layoutInCell="1" allowOverlap="1" wp14:anchorId="1621D3BD" wp14:editId="2AC4B36E">
              <wp:simplePos x="0" y="0"/>
              <wp:positionH relativeFrom="column">
                <wp:posOffset>-62865</wp:posOffset>
              </wp:positionH>
              <wp:positionV relativeFrom="paragraph">
                <wp:posOffset>34289</wp:posOffset>
              </wp:positionV>
              <wp:extent cx="60579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7pt" to="472.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QDC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10" w:rsidRPr="009703FE" w:rsidRDefault="000E5B10" w:rsidP="008121D3">
    <w:pPr>
      <w:pStyle w:val="Header"/>
      <w:tabs>
        <w:tab w:val="clear" w:pos="4320"/>
        <w:tab w:val="clear" w:pos="8640"/>
        <w:tab w:val="left" w:pos="1008"/>
        <w:tab w:val="left" w:pos="7200"/>
      </w:tabs>
      <w:spacing w:line="360" w:lineRule="auto"/>
      <w:ind w:right="90"/>
      <w:jc w:val="right"/>
      <w:rPr>
        <w:b/>
        <w:bCs/>
        <w:sz w:val="18"/>
      </w:rPr>
    </w:pPr>
    <w:r>
      <w:rPr>
        <w:b/>
        <w:bCs/>
        <w:sz w:val="18"/>
        <w:lang w:val="en-GB"/>
      </w:rPr>
      <w:t>Annex 1</w:t>
    </w:r>
    <w:r w:rsidR="006304DA">
      <w:rPr>
        <w:b/>
        <w:bCs/>
        <w:sz w:val="18"/>
        <w:lang w:val="en-GB"/>
      </w:rPr>
      <w:t xml:space="preserve"> to the UNFPA Strategic Plan, 2014-2017</w:t>
    </w:r>
  </w:p>
  <w:p w:rsidR="000E5B10" w:rsidRDefault="000E5B10" w:rsidP="00BB712F">
    <w:pPr>
      <w:pStyle w:val="Header"/>
      <w:tabs>
        <w:tab w:val="clear" w:pos="4320"/>
        <w:tab w:val="clear" w:pos="8640"/>
        <w:tab w:val="left" w:pos="864"/>
      </w:tabs>
      <w:spacing w:line="360" w:lineRule="auto"/>
    </w:pPr>
    <w:r>
      <w:rPr>
        <w:noProof/>
        <w:lang w:val="en-US" w:eastAsia="en-US"/>
      </w:rPr>
      <mc:AlternateContent>
        <mc:Choice Requires="wps">
          <w:drawing>
            <wp:anchor distT="4294967295" distB="4294967295" distL="114300" distR="114300" simplePos="0" relativeHeight="251661312" behindDoc="0" locked="0" layoutInCell="1" allowOverlap="1" wp14:anchorId="57245E86" wp14:editId="294B132C">
              <wp:simplePos x="0" y="0"/>
              <wp:positionH relativeFrom="column">
                <wp:posOffset>-62865</wp:posOffset>
              </wp:positionH>
              <wp:positionV relativeFrom="paragraph">
                <wp:posOffset>34289</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7pt" to="463.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4DA" w:rsidRPr="009703FE" w:rsidRDefault="006304DA" w:rsidP="008121D3">
    <w:pPr>
      <w:pStyle w:val="Header"/>
      <w:tabs>
        <w:tab w:val="clear" w:pos="4320"/>
        <w:tab w:val="clear" w:pos="8640"/>
        <w:tab w:val="left" w:pos="1008"/>
        <w:tab w:val="left" w:pos="7200"/>
      </w:tabs>
      <w:spacing w:line="360" w:lineRule="auto"/>
      <w:ind w:left="-90" w:right="-90"/>
      <w:rPr>
        <w:b/>
        <w:bCs/>
        <w:sz w:val="18"/>
      </w:rPr>
    </w:pPr>
    <w:r>
      <w:rPr>
        <w:b/>
        <w:bCs/>
        <w:sz w:val="18"/>
        <w:lang w:val="en-GB"/>
      </w:rPr>
      <w:t>Annex 1 to the UNFPA Strategic Plan, 2014-2017</w:t>
    </w:r>
  </w:p>
  <w:p w:rsidR="006304DA" w:rsidRDefault="006304DA" w:rsidP="00BB712F">
    <w:pPr>
      <w:pStyle w:val="Header"/>
      <w:tabs>
        <w:tab w:val="clear" w:pos="4320"/>
        <w:tab w:val="clear" w:pos="8640"/>
        <w:tab w:val="left" w:pos="720"/>
      </w:tabs>
      <w:spacing w:line="360" w:lineRule="auto"/>
      <w:jc w:val="both"/>
    </w:pPr>
    <w:r>
      <w:rPr>
        <w:b/>
        <w:bCs/>
        <w:noProof/>
        <w:lang w:val="en-US" w:eastAsia="en-US"/>
      </w:rPr>
      <mc:AlternateContent>
        <mc:Choice Requires="wps">
          <w:drawing>
            <wp:anchor distT="4294967295" distB="4294967295" distL="114300" distR="114300" simplePos="0" relativeHeight="251663360" behindDoc="0" locked="0" layoutInCell="1" allowOverlap="1" wp14:anchorId="0BEE260F" wp14:editId="4A36D5C2">
              <wp:simplePos x="0" y="0"/>
              <wp:positionH relativeFrom="column">
                <wp:posOffset>-62865</wp:posOffset>
              </wp:positionH>
              <wp:positionV relativeFrom="paragraph">
                <wp:posOffset>33655</wp:posOffset>
              </wp:positionV>
              <wp:extent cx="8686800" cy="0"/>
              <wp:effectExtent l="0" t="0" r="1905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65pt" to="679.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"/>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4DA" w:rsidRPr="009703FE" w:rsidRDefault="006304DA" w:rsidP="00BB712F">
    <w:pPr>
      <w:pStyle w:val="Header"/>
      <w:tabs>
        <w:tab w:val="clear" w:pos="4320"/>
        <w:tab w:val="clear" w:pos="8640"/>
        <w:tab w:val="left" w:pos="1008"/>
        <w:tab w:val="left" w:pos="7200"/>
      </w:tabs>
      <w:spacing w:line="360" w:lineRule="auto"/>
      <w:ind w:right="-918"/>
      <w:jc w:val="right"/>
      <w:rPr>
        <w:b/>
        <w:bCs/>
        <w:sz w:val="18"/>
      </w:rPr>
    </w:pPr>
    <w:r>
      <w:rPr>
        <w:b/>
        <w:bCs/>
        <w:sz w:val="18"/>
        <w:lang w:val="en-GB"/>
      </w:rPr>
      <w:t>Annex 1 to the UNFPA Strategic Plan, 2014-2017</w:t>
    </w:r>
  </w:p>
  <w:p w:rsidR="006304DA" w:rsidRDefault="006304DA" w:rsidP="00BB712F">
    <w:pPr>
      <w:pStyle w:val="Header"/>
      <w:tabs>
        <w:tab w:val="clear" w:pos="4320"/>
        <w:tab w:val="clear" w:pos="8640"/>
        <w:tab w:val="left" w:pos="864"/>
      </w:tabs>
      <w:spacing w:line="360" w:lineRule="auto"/>
    </w:pPr>
    <w:r>
      <w:rPr>
        <w:noProof/>
        <w:lang w:val="en-US" w:eastAsia="en-US"/>
      </w:rPr>
      <mc:AlternateContent>
        <mc:Choice Requires="wps">
          <w:drawing>
            <wp:anchor distT="4294967295" distB="4294967295" distL="114300" distR="114300" simplePos="0" relativeHeight="251665408" behindDoc="0" locked="0" layoutInCell="1" allowOverlap="1" wp14:anchorId="34B34032" wp14:editId="5BB288B7">
              <wp:simplePos x="0" y="0"/>
              <wp:positionH relativeFrom="column">
                <wp:posOffset>-62865</wp:posOffset>
              </wp:positionH>
              <wp:positionV relativeFrom="paragraph">
                <wp:posOffset>33655</wp:posOffset>
              </wp:positionV>
              <wp:extent cx="8686800" cy="0"/>
              <wp:effectExtent l="0" t="0" r="19050"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65pt" to="679.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BAE"/>
    <w:multiLevelType w:val="hybridMultilevel"/>
    <w:tmpl w:val="C0C000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EAD36E6"/>
    <w:multiLevelType w:val="hybridMultilevel"/>
    <w:tmpl w:val="A8EAC28C"/>
    <w:lvl w:ilvl="0" w:tplc="04090001">
      <w:start w:val="1"/>
      <w:numFmt w:val="bullet"/>
      <w:lvlText w:val=""/>
      <w:lvlJc w:val="left"/>
      <w:pPr>
        <w:ind w:left="189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2475CE"/>
    <w:multiLevelType w:val="hybridMultilevel"/>
    <w:tmpl w:val="8244D8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8035201"/>
    <w:multiLevelType w:val="hybridMultilevel"/>
    <w:tmpl w:val="7792C2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CD18E2"/>
    <w:multiLevelType w:val="hybridMultilevel"/>
    <w:tmpl w:val="8F10EB1E"/>
    <w:lvl w:ilvl="0" w:tplc="04090001">
      <w:start w:val="1"/>
      <w:numFmt w:val="bullet"/>
      <w:lvlText w:val=""/>
      <w:lvlJc w:val="left"/>
      <w:pPr>
        <w:ind w:left="189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1065FC2"/>
    <w:multiLevelType w:val="hybridMultilevel"/>
    <w:tmpl w:val="AB0A2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1EB5357"/>
    <w:multiLevelType w:val="hybridMultilevel"/>
    <w:tmpl w:val="0A6ABFF6"/>
    <w:lvl w:ilvl="0" w:tplc="04090001">
      <w:start w:val="1"/>
      <w:numFmt w:val="bullet"/>
      <w:lvlText w:val=""/>
      <w:lvlJc w:val="left"/>
      <w:pPr>
        <w:ind w:left="189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47D576E"/>
    <w:multiLevelType w:val="hybridMultilevel"/>
    <w:tmpl w:val="DD2EC616"/>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8">
    <w:nsid w:val="36BD3E36"/>
    <w:multiLevelType w:val="hybridMultilevel"/>
    <w:tmpl w:val="CC48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C0536F"/>
    <w:multiLevelType w:val="singleLevel"/>
    <w:tmpl w:val="1F708ACC"/>
    <w:lvl w:ilvl="0">
      <w:start w:val="1"/>
      <w:numFmt w:val="upperLetter"/>
      <w:pStyle w:val="Heading5"/>
      <w:lvlText w:val="%1."/>
      <w:lvlJc w:val="left"/>
      <w:pPr>
        <w:tabs>
          <w:tab w:val="num" w:pos="360"/>
        </w:tabs>
        <w:ind w:left="360" w:hanging="360"/>
      </w:pPr>
      <w:rPr>
        <w:rFonts w:hint="default"/>
      </w:rPr>
    </w:lvl>
  </w:abstractNum>
  <w:abstractNum w:abstractNumId="10">
    <w:nsid w:val="3ED40F6E"/>
    <w:multiLevelType w:val="hybridMultilevel"/>
    <w:tmpl w:val="40A69C38"/>
    <w:lvl w:ilvl="0" w:tplc="D4EE42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C97EE3"/>
    <w:multiLevelType w:val="hybridMultilevel"/>
    <w:tmpl w:val="34DC6D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C260A0E"/>
    <w:multiLevelType w:val="hybridMultilevel"/>
    <w:tmpl w:val="01AC6B10"/>
    <w:lvl w:ilvl="0" w:tplc="0DE43126">
      <w:start w:val="1"/>
      <w:numFmt w:val="upperRoman"/>
      <w:pStyle w:val="Heading1"/>
      <w:lvlText w:val="%1."/>
      <w:lvlJc w:val="left"/>
      <w:pPr>
        <w:ind w:left="936" w:hanging="360"/>
      </w:pPr>
      <w:rPr>
        <w:rFonts w:hint="default"/>
        <w:spacing w:val="0"/>
        <w:position w:val="0"/>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3">
    <w:nsid w:val="590561D9"/>
    <w:multiLevelType w:val="hybridMultilevel"/>
    <w:tmpl w:val="220808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4171B92"/>
    <w:multiLevelType w:val="hybridMultilevel"/>
    <w:tmpl w:val="49D4D830"/>
    <w:lvl w:ilvl="0" w:tplc="41387C20">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2F70B4"/>
    <w:multiLevelType w:val="hybridMultilevel"/>
    <w:tmpl w:val="04A6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3B48D9"/>
    <w:multiLevelType w:val="hybridMultilevel"/>
    <w:tmpl w:val="EEFA74DE"/>
    <w:lvl w:ilvl="0" w:tplc="B7BC311E">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BD7FA1"/>
    <w:multiLevelType w:val="hybridMultilevel"/>
    <w:tmpl w:val="24C061BA"/>
    <w:lvl w:ilvl="0" w:tplc="0409000F">
      <w:start w:val="1"/>
      <w:numFmt w:val="decimal"/>
      <w:lvlText w:val="%1."/>
      <w:lvlJc w:val="left"/>
      <w:pPr>
        <w:ind w:left="189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12"/>
  </w:num>
  <w:num w:numId="3">
    <w:abstractNumId w:val="13"/>
  </w:num>
  <w:num w:numId="4">
    <w:abstractNumId w:val="10"/>
  </w:num>
  <w:num w:numId="5">
    <w:abstractNumId w:val="9"/>
  </w:num>
  <w:num w:numId="6">
    <w:abstractNumId w:val="14"/>
  </w:num>
  <w:num w:numId="7">
    <w:abstractNumId w:val="8"/>
  </w:num>
  <w:num w:numId="8">
    <w:abstractNumId w:val="7"/>
  </w:num>
  <w:num w:numId="9">
    <w:abstractNumId w:val="2"/>
  </w:num>
  <w:num w:numId="10">
    <w:abstractNumId w:val="4"/>
  </w:num>
  <w:num w:numId="11">
    <w:abstractNumId w:val="14"/>
    <w:lvlOverride w:ilvl="0">
      <w:startOverride w:val="1"/>
    </w:lvlOverride>
  </w:num>
  <w:num w:numId="12">
    <w:abstractNumId w:val="6"/>
  </w:num>
  <w:num w:numId="13">
    <w:abstractNumId w:val="0"/>
  </w:num>
  <w:num w:numId="14">
    <w:abstractNumId w:val="3"/>
  </w:num>
  <w:num w:numId="15">
    <w:abstractNumId w:val="11"/>
  </w:num>
  <w:num w:numId="16">
    <w:abstractNumId w:val="1"/>
  </w:num>
  <w:num w:numId="17">
    <w:abstractNumId w:val="16"/>
  </w:num>
  <w:num w:numId="18">
    <w:abstractNumId w:val="16"/>
    <w:lvlOverride w:ilvl="0">
      <w:startOverride w:val="1"/>
    </w:lvlOverride>
  </w:num>
  <w:num w:numId="19">
    <w:abstractNumId w:val="5"/>
  </w:num>
  <w:num w:numId="20">
    <w:abstractNumId w:val="15"/>
  </w:num>
  <w:num w:numId="21">
    <w:abstractNumId w:val="16"/>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F9"/>
    <w:rsid w:val="00015094"/>
    <w:rsid w:val="00017BEE"/>
    <w:rsid w:val="000564A1"/>
    <w:rsid w:val="00080465"/>
    <w:rsid w:val="000C5C21"/>
    <w:rsid w:val="000E5B10"/>
    <w:rsid w:val="001B3EDB"/>
    <w:rsid w:val="002609FB"/>
    <w:rsid w:val="00290947"/>
    <w:rsid w:val="00296440"/>
    <w:rsid w:val="002A0475"/>
    <w:rsid w:val="002B04A9"/>
    <w:rsid w:val="002E02F3"/>
    <w:rsid w:val="002F41A8"/>
    <w:rsid w:val="00327168"/>
    <w:rsid w:val="003D3D7B"/>
    <w:rsid w:val="003E1AEB"/>
    <w:rsid w:val="003F5A2A"/>
    <w:rsid w:val="004154F6"/>
    <w:rsid w:val="004600F9"/>
    <w:rsid w:val="004C2B2F"/>
    <w:rsid w:val="004E024C"/>
    <w:rsid w:val="00532524"/>
    <w:rsid w:val="005662C4"/>
    <w:rsid w:val="005F6C3C"/>
    <w:rsid w:val="006304DA"/>
    <w:rsid w:val="0066557A"/>
    <w:rsid w:val="00704CC8"/>
    <w:rsid w:val="007209DE"/>
    <w:rsid w:val="0075313F"/>
    <w:rsid w:val="0077074B"/>
    <w:rsid w:val="007B3B0C"/>
    <w:rsid w:val="007C0CF4"/>
    <w:rsid w:val="007E3EAB"/>
    <w:rsid w:val="008121D3"/>
    <w:rsid w:val="00830FEE"/>
    <w:rsid w:val="008A533D"/>
    <w:rsid w:val="008A554C"/>
    <w:rsid w:val="008B158B"/>
    <w:rsid w:val="00912F31"/>
    <w:rsid w:val="009700D0"/>
    <w:rsid w:val="00A430CF"/>
    <w:rsid w:val="00A75BF3"/>
    <w:rsid w:val="00B25C3E"/>
    <w:rsid w:val="00B56FA7"/>
    <w:rsid w:val="00BA5B0C"/>
    <w:rsid w:val="00BB712F"/>
    <w:rsid w:val="00C00EC4"/>
    <w:rsid w:val="00C211D3"/>
    <w:rsid w:val="00C64F0F"/>
    <w:rsid w:val="00CF576A"/>
    <w:rsid w:val="00D321F7"/>
    <w:rsid w:val="00D562D7"/>
    <w:rsid w:val="00D97F65"/>
    <w:rsid w:val="00DC4ACA"/>
    <w:rsid w:val="00DC6A6B"/>
    <w:rsid w:val="00DE3603"/>
    <w:rsid w:val="00DF66F2"/>
    <w:rsid w:val="00E660CD"/>
    <w:rsid w:val="00E722B1"/>
    <w:rsid w:val="00EF2410"/>
    <w:rsid w:val="00F406CF"/>
    <w:rsid w:val="00F63D3F"/>
    <w:rsid w:val="00FC5433"/>
    <w:rsid w:val="00FC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0F9"/>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9"/>
    <w:qFormat/>
    <w:rsid w:val="004600F9"/>
    <w:pPr>
      <w:keepNext/>
      <w:numPr>
        <w:numId w:val="2"/>
      </w:numPr>
      <w:tabs>
        <w:tab w:val="left" w:pos="1080"/>
      </w:tabs>
      <w:outlineLvl w:val="0"/>
    </w:pPr>
    <w:rPr>
      <w:b/>
      <w:sz w:val="28"/>
      <w:lang w:val="x-none" w:eastAsia="x-none"/>
    </w:rPr>
  </w:style>
  <w:style w:type="paragraph" w:styleId="Heading2">
    <w:name w:val="heading 2"/>
    <w:basedOn w:val="Normal"/>
    <w:next w:val="Normal"/>
    <w:link w:val="Heading2Char"/>
    <w:uiPriority w:val="99"/>
    <w:qFormat/>
    <w:rsid w:val="004600F9"/>
    <w:pPr>
      <w:keepNext/>
      <w:numPr>
        <w:numId w:val="17"/>
      </w:numPr>
      <w:tabs>
        <w:tab w:val="left" w:pos="1080"/>
      </w:tabs>
      <w:outlineLvl w:val="1"/>
    </w:pPr>
    <w:rPr>
      <w:b/>
      <w:sz w:val="24"/>
      <w:lang w:val="x-none" w:eastAsia="x-none"/>
    </w:rPr>
  </w:style>
  <w:style w:type="paragraph" w:styleId="Heading3">
    <w:name w:val="heading 3"/>
    <w:basedOn w:val="Normal"/>
    <w:next w:val="Normal"/>
    <w:link w:val="Heading3Char"/>
    <w:uiPriority w:val="99"/>
    <w:qFormat/>
    <w:rsid w:val="004600F9"/>
    <w:pPr>
      <w:keepNext/>
      <w:numPr>
        <w:numId w:val="6"/>
      </w:numPr>
      <w:ind w:left="1440"/>
      <w:outlineLvl w:val="2"/>
    </w:pPr>
    <w:rPr>
      <w:b/>
      <w:sz w:val="22"/>
      <w:lang w:val="x-none" w:eastAsia="x-none"/>
    </w:rPr>
  </w:style>
  <w:style w:type="paragraph" w:styleId="Heading4">
    <w:name w:val="heading 4"/>
    <w:basedOn w:val="Normal"/>
    <w:next w:val="Normal"/>
    <w:link w:val="Heading4Char"/>
    <w:uiPriority w:val="99"/>
    <w:qFormat/>
    <w:rsid w:val="004600F9"/>
    <w:pPr>
      <w:keepNext/>
      <w:jc w:val="center"/>
      <w:outlineLvl w:val="3"/>
    </w:pPr>
    <w:rPr>
      <w:u w:val="single"/>
      <w:lang w:val="x-none" w:eastAsia="x-none"/>
    </w:rPr>
  </w:style>
  <w:style w:type="paragraph" w:styleId="Heading5">
    <w:name w:val="heading 5"/>
    <w:basedOn w:val="Normal"/>
    <w:next w:val="Normal"/>
    <w:link w:val="Heading5Char"/>
    <w:qFormat/>
    <w:rsid w:val="004600F9"/>
    <w:pPr>
      <w:keepNext/>
      <w:numPr>
        <w:numId w:val="5"/>
      </w:numPr>
      <w:tabs>
        <w:tab w:val="center" w:pos="4680"/>
      </w:tabs>
      <w:jc w:val="center"/>
      <w:outlineLvl w:val="4"/>
    </w:pPr>
    <w:rPr>
      <w:u w:val="single"/>
    </w:rPr>
  </w:style>
  <w:style w:type="paragraph" w:styleId="Heading6">
    <w:name w:val="heading 6"/>
    <w:basedOn w:val="Normal"/>
    <w:next w:val="Normal"/>
    <w:link w:val="Heading6Char"/>
    <w:uiPriority w:val="99"/>
    <w:qFormat/>
    <w:rsid w:val="004600F9"/>
    <w:pPr>
      <w:keepNext/>
      <w:outlineLvl w:val="5"/>
    </w:pPr>
    <w:rPr>
      <w:rFonts w:ascii="Arial" w:hAnsi="Arial"/>
      <w:b/>
      <w:sz w:val="32"/>
      <w:lang w:val="x-none" w:eastAsia="x-none"/>
    </w:rPr>
  </w:style>
  <w:style w:type="paragraph" w:styleId="Heading7">
    <w:name w:val="heading 7"/>
    <w:basedOn w:val="Normal"/>
    <w:next w:val="Normal"/>
    <w:link w:val="Heading7Char"/>
    <w:qFormat/>
    <w:rsid w:val="004600F9"/>
    <w:pPr>
      <w:keepNext/>
      <w:ind w:left="720"/>
      <w:outlineLvl w:val="6"/>
    </w:pPr>
  </w:style>
  <w:style w:type="paragraph" w:styleId="Heading8">
    <w:name w:val="heading 8"/>
    <w:basedOn w:val="Normal"/>
    <w:next w:val="Normal"/>
    <w:link w:val="Heading8Char"/>
    <w:qFormat/>
    <w:rsid w:val="004600F9"/>
    <w:pPr>
      <w:keepNext/>
      <w:jc w:val="both"/>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600F9"/>
    <w:rPr>
      <w:rFonts w:ascii="Times New Roman" w:eastAsia="Times New Roman" w:hAnsi="Times New Roman" w:cs="Times New Roman"/>
      <w:b/>
      <w:sz w:val="28"/>
      <w:szCs w:val="20"/>
      <w:lang w:val="x-none" w:eastAsia="x-none"/>
    </w:rPr>
  </w:style>
  <w:style w:type="paragraph" w:styleId="TOC1">
    <w:name w:val="toc 1"/>
    <w:basedOn w:val="Normal"/>
    <w:next w:val="Normal"/>
    <w:autoRedefine/>
    <w:uiPriority w:val="39"/>
    <w:rsid w:val="004600F9"/>
    <w:pPr>
      <w:tabs>
        <w:tab w:val="right" w:leader="dot" w:pos="9350"/>
      </w:tabs>
      <w:spacing w:after="120"/>
      <w:ind w:left="634" w:hanging="634"/>
    </w:pPr>
    <w:rPr>
      <w:noProof/>
    </w:rPr>
  </w:style>
  <w:style w:type="character" w:styleId="Hyperlink">
    <w:name w:val="Hyperlink"/>
    <w:uiPriority w:val="99"/>
    <w:rsid w:val="004600F9"/>
    <w:rPr>
      <w:rFonts w:cs="Times New Roman"/>
      <w:color w:val="0000FF"/>
      <w:u w:val="single"/>
    </w:rPr>
  </w:style>
  <w:style w:type="paragraph" w:styleId="BalloonText">
    <w:name w:val="Balloon Text"/>
    <w:basedOn w:val="Normal"/>
    <w:link w:val="BalloonTextChar"/>
    <w:uiPriority w:val="99"/>
    <w:unhideWhenUsed/>
    <w:rsid w:val="004600F9"/>
    <w:rPr>
      <w:rFonts w:ascii="Tahoma" w:hAnsi="Tahoma" w:cs="Tahoma"/>
      <w:sz w:val="16"/>
      <w:szCs w:val="16"/>
    </w:rPr>
  </w:style>
  <w:style w:type="character" w:customStyle="1" w:styleId="BalloonTextChar">
    <w:name w:val="Balloon Text Char"/>
    <w:basedOn w:val="DefaultParagraphFont"/>
    <w:link w:val="BalloonText"/>
    <w:uiPriority w:val="99"/>
    <w:rsid w:val="004600F9"/>
    <w:rPr>
      <w:rFonts w:ascii="Tahoma" w:eastAsia="Times New Roman" w:hAnsi="Tahoma" w:cs="Tahoma"/>
      <w:sz w:val="16"/>
      <w:szCs w:val="16"/>
      <w:lang w:val="en-GB"/>
    </w:rPr>
  </w:style>
  <w:style w:type="character" w:customStyle="1" w:styleId="Heading2Char">
    <w:name w:val="Heading 2 Char"/>
    <w:basedOn w:val="DefaultParagraphFont"/>
    <w:link w:val="Heading2"/>
    <w:uiPriority w:val="99"/>
    <w:rsid w:val="004600F9"/>
    <w:rPr>
      <w:rFonts w:ascii="Times New Roman" w:eastAsia="Times New Roman" w:hAnsi="Times New Roman" w:cs="Times New Roman"/>
      <w:b/>
      <w:sz w:val="24"/>
      <w:szCs w:val="20"/>
      <w:lang w:val="x-none" w:eastAsia="x-none"/>
    </w:rPr>
  </w:style>
  <w:style w:type="character" w:customStyle="1" w:styleId="Heading3Char">
    <w:name w:val="Heading 3 Char"/>
    <w:basedOn w:val="DefaultParagraphFont"/>
    <w:link w:val="Heading3"/>
    <w:uiPriority w:val="99"/>
    <w:rsid w:val="004600F9"/>
    <w:rPr>
      <w:rFonts w:ascii="Times New Roman" w:eastAsia="Times New Roman" w:hAnsi="Times New Roman" w:cs="Times New Roman"/>
      <w:b/>
      <w:szCs w:val="20"/>
      <w:lang w:val="x-none" w:eastAsia="x-none"/>
    </w:rPr>
  </w:style>
  <w:style w:type="character" w:customStyle="1" w:styleId="Heading4Char">
    <w:name w:val="Heading 4 Char"/>
    <w:basedOn w:val="DefaultParagraphFont"/>
    <w:link w:val="Heading4"/>
    <w:uiPriority w:val="99"/>
    <w:rsid w:val="004600F9"/>
    <w:rPr>
      <w:rFonts w:ascii="Times New Roman" w:eastAsia="Times New Roman" w:hAnsi="Times New Roman" w:cs="Times New Roman"/>
      <w:sz w:val="20"/>
      <w:szCs w:val="20"/>
      <w:u w:val="single"/>
      <w:lang w:val="x-none" w:eastAsia="x-none"/>
    </w:rPr>
  </w:style>
  <w:style w:type="character" w:customStyle="1" w:styleId="Heading5Char">
    <w:name w:val="Heading 5 Char"/>
    <w:basedOn w:val="DefaultParagraphFont"/>
    <w:link w:val="Heading5"/>
    <w:rsid w:val="004600F9"/>
    <w:rPr>
      <w:rFonts w:ascii="Times New Roman" w:eastAsia="Times New Roman" w:hAnsi="Times New Roman" w:cs="Times New Roman"/>
      <w:sz w:val="20"/>
      <w:szCs w:val="20"/>
      <w:u w:val="single"/>
      <w:lang w:val="en-GB"/>
    </w:rPr>
  </w:style>
  <w:style w:type="character" w:customStyle="1" w:styleId="Heading6Char">
    <w:name w:val="Heading 6 Char"/>
    <w:basedOn w:val="DefaultParagraphFont"/>
    <w:link w:val="Heading6"/>
    <w:uiPriority w:val="99"/>
    <w:rsid w:val="004600F9"/>
    <w:rPr>
      <w:rFonts w:ascii="Arial" w:eastAsia="Times New Roman" w:hAnsi="Arial" w:cs="Times New Roman"/>
      <w:b/>
      <w:sz w:val="32"/>
      <w:szCs w:val="20"/>
      <w:lang w:val="x-none" w:eastAsia="x-none"/>
    </w:rPr>
  </w:style>
  <w:style w:type="character" w:customStyle="1" w:styleId="Heading7Char">
    <w:name w:val="Heading 7 Char"/>
    <w:basedOn w:val="DefaultParagraphFont"/>
    <w:link w:val="Heading7"/>
    <w:rsid w:val="004600F9"/>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4600F9"/>
    <w:rPr>
      <w:rFonts w:ascii="Times New Roman" w:eastAsia="Times New Roman" w:hAnsi="Times New Roman" w:cs="Times New Roman"/>
      <w:i/>
      <w:sz w:val="20"/>
      <w:szCs w:val="20"/>
      <w:lang w:val="en-GB"/>
    </w:rPr>
  </w:style>
  <w:style w:type="paragraph" w:styleId="Header">
    <w:name w:val="header"/>
    <w:basedOn w:val="Normal"/>
    <w:link w:val="HeaderChar"/>
    <w:uiPriority w:val="99"/>
    <w:rsid w:val="004600F9"/>
    <w:pPr>
      <w:tabs>
        <w:tab w:val="center" w:pos="4320"/>
        <w:tab w:val="right" w:pos="8640"/>
      </w:tabs>
    </w:pPr>
    <w:rPr>
      <w:lang w:val="x-none" w:eastAsia="x-none"/>
    </w:rPr>
  </w:style>
  <w:style w:type="character" w:customStyle="1" w:styleId="HeaderChar">
    <w:name w:val="Header Char"/>
    <w:basedOn w:val="DefaultParagraphFont"/>
    <w:link w:val="Header"/>
    <w:uiPriority w:val="99"/>
    <w:rsid w:val="004600F9"/>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4600F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600F9"/>
    <w:rPr>
      <w:rFonts w:ascii="Times New Roman" w:eastAsia="Times New Roman" w:hAnsi="Times New Roman" w:cs="Times New Roman"/>
      <w:sz w:val="20"/>
      <w:szCs w:val="20"/>
      <w:lang w:val="x-none" w:eastAsia="x-none"/>
    </w:rPr>
  </w:style>
  <w:style w:type="character" w:styleId="PageNumber">
    <w:name w:val="page number"/>
    <w:basedOn w:val="DefaultParagraphFont"/>
    <w:rsid w:val="004600F9"/>
  </w:style>
  <w:style w:type="character" w:styleId="FootnoteReference">
    <w:name w:val="footnote reference"/>
    <w:uiPriority w:val="99"/>
    <w:rsid w:val="004600F9"/>
  </w:style>
  <w:style w:type="paragraph" w:customStyle="1" w:styleId="Level1">
    <w:name w:val="Level 1"/>
    <w:basedOn w:val="Normal"/>
    <w:rsid w:val="004600F9"/>
    <w:pPr>
      <w:widowControl w:val="0"/>
    </w:pPr>
    <w:rPr>
      <w:snapToGrid w:val="0"/>
    </w:rPr>
  </w:style>
  <w:style w:type="paragraph" w:styleId="Title">
    <w:name w:val="Title"/>
    <w:basedOn w:val="Normal"/>
    <w:link w:val="TitleChar"/>
    <w:uiPriority w:val="99"/>
    <w:qFormat/>
    <w:rsid w:val="004600F9"/>
    <w:pPr>
      <w:jc w:val="center"/>
    </w:pPr>
    <w:rPr>
      <w:b/>
      <w:sz w:val="28"/>
      <w:lang w:eastAsia="x-none"/>
    </w:rPr>
  </w:style>
  <w:style w:type="character" w:customStyle="1" w:styleId="TitleChar">
    <w:name w:val="Title Char"/>
    <w:basedOn w:val="DefaultParagraphFont"/>
    <w:link w:val="Title"/>
    <w:uiPriority w:val="99"/>
    <w:rsid w:val="004600F9"/>
    <w:rPr>
      <w:rFonts w:ascii="Times New Roman" w:eastAsia="Times New Roman" w:hAnsi="Times New Roman" w:cs="Times New Roman"/>
      <w:b/>
      <w:sz w:val="28"/>
      <w:szCs w:val="20"/>
      <w:lang w:val="en-GB" w:eastAsia="x-none"/>
    </w:rPr>
  </w:style>
  <w:style w:type="paragraph" w:styleId="TOC2">
    <w:name w:val="toc 2"/>
    <w:basedOn w:val="Normal"/>
    <w:next w:val="Normal"/>
    <w:autoRedefine/>
    <w:uiPriority w:val="39"/>
    <w:rsid w:val="004600F9"/>
    <w:pPr>
      <w:tabs>
        <w:tab w:val="left" w:pos="630"/>
        <w:tab w:val="right" w:leader="dot" w:pos="9350"/>
      </w:tabs>
      <w:ind w:left="200"/>
    </w:pPr>
    <w:rPr>
      <w:noProof/>
    </w:rPr>
  </w:style>
  <w:style w:type="paragraph" w:styleId="TOC3">
    <w:name w:val="toc 3"/>
    <w:basedOn w:val="Normal"/>
    <w:next w:val="Normal"/>
    <w:autoRedefine/>
    <w:uiPriority w:val="39"/>
    <w:rsid w:val="004600F9"/>
    <w:pPr>
      <w:tabs>
        <w:tab w:val="left" w:pos="1800"/>
        <w:tab w:val="right" w:leader="dot" w:pos="9350"/>
      </w:tabs>
      <w:ind w:left="1260" w:hanging="860"/>
    </w:pPr>
    <w:rPr>
      <w:noProof/>
    </w:rPr>
  </w:style>
  <w:style w:type="paragraph" w:styleId="FootnoteText">
    <w:name w:val="footnote text"/>
    <w:basedOn w:val="Normal"/>
    <w:link w:val="FootnoteTextChar"/>
    <w:uiPriority w:val="99"/>
    <w:rsid w:val="004600F9"/>
    <w:rPr>
      <w:lang w:eastAsia="x-none"/>
    </w:rPr>
  </w:style>
  <w:style w:type="character" w:customStyle="1" w:styleId="FootnoteTextChar">
    <w:name w:val="Footnote Text Char"/>
    <w:basedOn w:val="DefaultParagraphFont"/>
    <w:link w:val="FootnoteText"/>
    <w:uiPriority w:val="99"/>
    <w:rsid w:val="004600F9"/>
    <w:rPr>
      <w:rFonts w:ascii="Times New Roman" w:eastAsia="Times New Roman" w:hAnsi="Times New Roman" w:cs="Times New Roman"/>
      <w:sz w:val="20"/>
      <w:szCs w:val="20"/>
      <w:lang w:val="en-GB" w:eastAsia="x-none"/>
    </w:rPr>
  </w:style>
  <w:style w:type="paragraph" w:styleId="BodyText3">
    <w:name w:val="Body Text 3"/>
    <w:basedOn w:val="Normal"/>
    <w:link w:val="BodyText3Char"/>
    <w:rsid w:val="004600F9"/>
    <w:pPr>
      <w:widowControl w:val="0"/>
      <w:jc w:val="both"/>
    </w:pPr>
    <w:rPr>
      <w:snapToGrid w:val="0"/>
    </w:rPr>
  </w:style>
  <w:style w:type="character" w:customStyle="1" w:styleId="BodyText3Char">
    <w:name w:val="Body Text 3 Char"/>
    <w:basedOn w:val="DefaultParagraphFont"/>
    <w:link w:val="BodyText3"/>
    <w:rsid w:val="004600F9"/>
    <w:rPr>
      <w:rFonts w:ascii="Times New Roman" w:eastAsia="Times New Roman" w:hAnsi="Times New Roman" w:cs="Times New Roman"/>
      <w:snapToGrid w:val="0"/>
      <w:sz w:val="20"/>
      <w:szCs w:val="20"/>
      <w:lang w:val="en-GB"/>
    </w:rPr>
  </w:style>
  <w:style w:type="paragraph" w:styleId="BodyText2">
    <w:name w:val="Body Text 2"/>
    <w:basedOn w:val="Normal"/>
    <w:link w:val="BodyText2Char"/>
    <w:rsid w:val="004600F9"/>
    <w:rPr>
      <w:u w:val="single"/>
    </w:rPr>
  </w:style>
  <w:style w:type="character" w:customStyle="1" w:styleId="BodyText2Char">
    <w:name w:val="Body Text 2 Char"/>
    <w:basedOn w:val="DefaultParagraphFont"/>
    <w:link w:val="BodyText2"/>
    <w:rsid w:val="004600F9"/>
    <w:rPr>
      <w:rFonts w:ascii="Times New Roman" w:eastAsia="Times New Roman" w:hAnsi="Times New Roman" w:cs="Times New Roman"/>
      <w:sz w:val="20"/>
      <w:szCs w:val="20"/>
      <w:u w:val="single"/>
      <w:lang w:val="en-GB"/>
    </w:rPr>
  </w:style>
  <w:style w:type="paragraph" w:styleId="BodyText">
    <w:name w:val="Body Text"/>
    <w:basedOn w:val="Normal"/>
    <w:link w:val="BodyTextChar"/>
    <w:uiPriority w:val="99"/>
    <w:rsid w:val="004600F9"/>
    <w:pPr>
      <w:spacing w:line="480" w:lineRule="auto"/>
    </w:pPr>
    <w:rPr>
      <w:lang w:val="x-none" w:eastAsia="x-none"/>
    </w:rPr>
  </w:style>
  <w:style w:type="character" w:customStyle="1" w:styleId="BodyTextChar">
    <w:name w:val="Body Text Char"/>
    <w:basedOn w:val="DefaultParagraphFont"/>
    <w:link w:val="BodyText"/>
    <w:uiPriority w:val="99"/>
    <w:rsid w:val="004600F9"/>
    <w:rPr>
      <w:rFonts w:ascii="Times New Roman" w:eastAsia="Times New Roman" w:hAnsi="Times New Roman" w:cs="Times New Roman"/>
      <w:sz w:val="20"/>
      <w:szCs w:val="20"/>
      <w:lang w:val="x-none" w:eastAsia="x-none"/>
    </w:rPr>
  </w:style>
  <w:style w:type="paragraph" w:styleId="BodyTextIndent2">
    <w:name w:val="Body Text Indent 2"/>
    <w:basedOn w:val="Normal"/>
    <w:link w:val="BodyTextIndent2Char"/>
    <w:rsid w:val="004600F9"/>
    <w:pPr>
      <w:ind w:left="720" w:hanging="720"/>
    </w:pPr>
  </w:style>
  <w:style w:type="character" w:customStyle="1" w:styleId="BodyTextIndent2Char">
    <w:name w:val="Body Text Indent 2 Char"/>
    <w:basedOn w:val="DefaultParagraphFont"/>
    <w:link w:val="BodyTextIndent2"/>
    <w:rsid w:val="004600F9"/>
    <w:rPr>
      <w:rFonts w:ascii="Times New Roman" w:eastAsia="Times New Roman" w:hAnsi="Times New Roman" w:cs="Times New Roman"/>
      <w:sz w:val="20"/>
      <w:szCs w:val="20"/>
      <w:lang w:val="en-GB"/>
    </w:rPr>
  </w:style>
  <w:style w:type="character" w:styleId="CommentReference">
    <w:name w:val="annotation reference"/>
    <w:uiPriority w:val="99"/>
    <w:semiHidden/>
    <w:rsid w:val="004600F9"/>
    <w:rPr>
      <w:sz w:val="16"/>
    </w:rPr>
  </w:style>
  <w:style w:type="paragraph" w:styleId="BodyTextIndent">
    <w:name w:val="Body Text Indent"/>
    <w:basedOn w:val="Normal"/>
    <w:link w:val="BodyTextIndentChar"/>
    <w:uiPriority w:val="99"/>
    <w:rsid w:val="004600F9"/>
    <w:pPr>
      <w:ind w:left="720"/>
    </w:pPr>
    <w:rPr>
      <w:lang w:val="x-none" w:eastAsia="x-none"/>
    </w:rPr>
  </w:style>
  <w:style w:type="character" w:customStyle="1" w:styleId="BodyTextIndentChar">
    <w:name w:val="Body Text Indent Char"/>
    <w:basedOn w:val="DefaultParagraphFont"/>
    <w:link w:val="BodyTextIndent"/>
    <w:uiPriority w:val="99"/>
    <w:rsid w:val="004600F9"/>
    <w:rPr>
      <w:rFonts w:ascii="Times New Roman" w:eastAsia="Times New Roman" w:hAnsi="Times New Roman" w:cs="Times New Roman"/>
      <w:sz w:val="20"/>
      <w:szCs w:val="20"/>
      <w:lang w:val="x-none" w:eastAsia="x-none"/>
    </w:rPr>
  </w:style>
  <w:style w:type="paragraph" w:styleId="BodyTextIndent3">
    <w:name w:val="Body Text Indent 3"/>
    <w:basedOn w:val="Normal"/>
    <w:link w:val="BodyTextIndent3Char"/>
    <w:rsid w:val="004600F9"/>
    <w:pPr>
      <w:ind w:left="720"/>
    </w:pPr>
    <w:rPr>
      <w:i/>
    </w:rPr>
  </w:style>
  <w:style w:type="character" w:customStyle="1" w:styleId="BodyTextIndent3Char">
    <w:name w:val="Body Text Indent 3 Char"/>
    <w:basedOn w:val="DefaultParagraphFont"/>
    <w:link w:val="BodyTextIndent3"/>
    <w:rsid w:val="004600F9"/>
    <w:rPr>
      <w:rFonts w:ascii="Times New Roman" w:eastAsia="Times New Roman" w:hAnsi="Times New Roman" w:cs="Times New Roman"/>
      <w:i/>
      <w:sz w:val="20"/>
      <w:szCs w:val="20"/>
      <w:lang w:val="en-GB"/>
    </w:rPr>
  </w:style>
  <w:style w:type="paragraph" w:styleId="CommentText">
    <w:name w:val="annotation text"/>
    <w:basedOn w:val="Normal"/>
    <w:link w:val="CommentTextChar"/>
    <w:uiPriority w:val="99"/>
    <w:semiHidden/>
    <w:rsid w:val="004600F9"/>
    <w:pPr>
      <w:widowControl w:val="0"/>
    </w:pPr>
    <w:rPr>
      <w:snapToGrid w:val="0"/>
      <w:lang w:val="x-none" w:eastAsia="x-none"/>
    </w:rPr>
  </w:style>
  <w:style w:type="character" w:customStyle="1" w:styleId="CommentTextChar">
    <w:name w:val="Comment Text Char"/>
    <w:basedOn w:val="DefaultParagraphFont"/>
    <w:link w:val="CommentText"/>
    <w:uiPriority w:val="99"/>
    <w:semiHidden/>
    <w:rsid w:val="004600F9"/>
    <w:rPr>
      <w:rFonts w:ascii="Times New Roman" w:eastAsia="Times New Roman" w:hAnsi="Times New Roman" w:cs="Times New Roman"/>
      <w:snapToGrid w:val="0"/>
      <w:sz w:val="20"/>
      <w:szCs w:val="20"/>
      <w:lang w:val="x-none" w:eastAsia="x-none"/>
    </w:rPr>
  </w:style>
  <w:style w:type="paragraph" w:styleId="ListParagraph">
    <w:name w:val="List Paragraph"/>
    <w:basedOn w:val="Normal"/>
    <w:link w:val="ListParagraphChar"/>
    <w:uiPriority w:val="34"/>
    <w:qFormat/>
    <w:rsid w:val="004600F9"/>
    <w:pPr>
      <w:spacing w:line="276" w:lineRule="auto"/>
      <w:ind w:left="1440"/>
      <w:contextualSpacing/>
    </w:pPr>
    <w:rPr>
      <w:rFonts w:eastAsia="Calibri"/>
      <w:szCs w:val="22"/>
    </w:rPr>
  </w:style>
  <w:style w:type="paragraph" w:customStyle="1" w:styleId="SingleTxt">
    <w:name w:val="__Single Txt"/>
    <w:basedOn w:val="Normal"/>
    <w:rsid w:val="004600F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rPr>
  </w:style>
  <w:style w:type="paragraph" w:styleId="Subtitle">
    <w:name w:val="Subtitle"/>
    <w:basedOn w:val="Normal"/>
    <w:link w:val="SubtitleChar"/>
    <w:uiPriority w:val="99"/>
    <w:qFormat/>
    <w:rsid w:val="004600F9"/>
    <w:pPr>
      <w:jc w:val="center"/>
    </w:pPr>
    <w:rPr>
      <w:b/>
      <w:szCs w:val="28"/>
      <w:lang w:val="x-none" w:eastAsia="x-none"/>
    </w:rPr>
  </w:style>
  <w:style w:type="character" w:customStyle="1" w:styleId="SubtitleChar">
    <w:name w:val="Subtitle Char"/>
    <w:basedOn w:val="DefaultParagraphFont"/>
    <w:link w:val="Subtitle"/>
    <w:uiPriority w:val="99"/>
    <w:rsid w:val="004600F9"/>
    <w:rPr>
      <w:rFonts w:ascii="Times New Roman" w:eastAsia="Times New Roman" w:hAnsi="Times New Roman" w:cs="Times New Roman"/>
      <w:b/>
      <w:sz w:val="20"/>
      <w:szCs w:val="28"/>
      <w:lang w:val="x-none" w:eastAsia="x-none"/>
    </w:rPr>
  </w:style>
  <w:style w:type="paragraph" w:customStyle="1" w:styleId="xl24">
    <w:name w:val="xl24"/>
    <w:basedOn w:val="Normal"/>
    <w:uiPriority w:val="99"/>
    <w:rsid w:val="004600F9"/>
    <w:pPr>
      <w:spacing w:before="100" w:after="100"/>
    </w:pPr>
    <w:rPr>
      <w:rFonts w:ascii="Arial Unicode MS" w:eastAsia="Arial Unicode MS" w:hAnsi="Arial Unicode MS"/>
      <w:sz w:val="16"/>
    </w:rPr>
  </w:style>
  <w:style w:type="paragraph" w:customStyle="1" w:styleId="Default">
    <w:name w:val="Default"/>
    <w:uiPriority w:val="99"/>
    <w:rsid w:val="004600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rsid w:val="004600F9"/>
    <w:pPr>
      <w:widowControl/>
    </w:pPr>
    <w:rPr>
      <w:b/>
      <w:bCs/>
    </w:rPr>
  </w:style>
  <w:style w:type="character" w:customStyle="1" w:styleId="CommentSubjectChar">
    <w:name w:val="Comment Subject Char"/>
    <w:basedOn w:val="CommentTextChar"/>
    <w:link w:val="CommentSubject"/>
    <w:uiPriority w:val="99"/>
    <w:rsid w:val="004600F9"/>
    <w:rPr>
      <w:rFonts w:ascii="Times New Roman" w:eastAsia="Times New Roman" w:hAnsi="Times New Roman" w:cs="Times New Roman"/>
      <w:b/>
      <w:bCs/>
      <w:snapToGrid w:val="0"/>
      <w:sz w:val="20"/>
      <w:szCs w:val="20"/>
      <w:lang w:val="x-none" w:eastAsia="x-none"/>
    </w:rPr>
  </w:style>
  <w:style w:type="paragraph" w:styleId="EndnoteText">
    <w:name w:val="endnote text"/>
    <w:basedOn w:val="Normal"/>
    <w:link w:val="EndnoteTextChar"/>
    <w:uiPriority w:val="99"/>
    <w:rsid w:val="004600F9"/>
  </w:style>
  <w:style w:type="character" w:customStyle="1" w:styleId="EndnoteTextChar">
    <w:name w:val="Endnote Text Char"/>
    <w:basedOn w:val="DefaultParagraphFont"/>
    <w:link w:val="EndnoteText"/>
    <w:uiPriority w:val="99"/>
    <w:rsid w:val="004600F9"/>
    <w:rPr>
      <w:rFonts w:ascii="Times New Roman" w:eastAsia="Times New Roman" w:hAnsi="Times New Roman" w:cs="Times New Roman"/>
      <w:sz w:val="20"/>
      <w:szCs w:val="20"/>
      <w:lang w:val="en-GB"/>
    </w:rPr>
  </w:style>
  <w:style w:type="character" w:styleId="EndnoteReference">
    <w:name w:val="endnote reference"/>
    <w:uiPriority w:val="99"/>
    <w:rsid w:val="004600F9"/>
    <w:rPr>
      <w:rFonts w:cs="Times New Roman"/>
      <w:vertAlign w:val="superscript"/>
    </w:rPr>
  </w:style>
  <w:style w:type="character" w:customStyle="1" w:styleId="ti">
    <w:name w:val="ti"/>
    <w:uiPriority w:val="99"/>
    <w:rsid w:val="004600F9"/>
    <w:rPr>
      <w:rFonts w:cs="Times New Roman"/>
    </w:rPr>
  </w:style>
  <w:style w:type="table" w:styleId="TableGrid">
    <w:name w:val="Table Grid"/>
    <w:basedOn w:val="TableNormal"/>
    <w:uiPriority w:val="59"/>
    <w:rsid w:val="004600F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4600F9"/>
    <w:pPr>
      <w:spacing w:before="100" w:beforeAutospacing="1" w:after="100" w:afterAutospacing="1"/>
    </w:pPr>
    <w:rPr>
      <w:color w:val="575349"/>
      <w:szCs w:val="24"/>
    </w:rPr>
  </w:style>
  <w:style w:type="paragraph" w:styleId="HTMLPreformatted">
    <w:name w:val="HTML Preformatted"/>
    <w:basedOn w:val="Normal"/>
    <w:link w:val="HTMLPreformattedChar"/>
    <w:rsid w:val="00460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basedOn w:val="DefaultParagraphFont"/>
    <w:link w:val="HTMLPreformatted"/>
    <w:rsid w:val="004600F9"/>
    <w:rPr>
      <w:rFonts w:ascii="Courier New" w:eastAsia="Times New Roman" w:hAnsi="Courier New" w:cs="Times New Roman"/>
      <w:sz w:val="20"/>
      <w:szCs w:val="20"/>
      <w:lang w:val="x-none" w:eastAsia="x-none"/>
    </w:rPr>
  </w:style>
  <w:style w:type="paragraph" w:styleId="NoSpacing">
    <w:name w:val="No Spacing"/>
    <w:link w:val="NoSpacingChar"/>
    <w:uiPriority w:val="1"/>
    <w:qFormat/>
    <w:rsid w:val="004600F9"/>
    <w:pPr>
      <w:spacing w:after="0" w:line="240" w:lineRule="auto"/>
    </w:pPr>
    <w:rPr>
      <w:rFonts w:ascii="Calibri" w:eastAsia="Calibri" w:hAnsi="Calibri" w:cs="Times New Roman"/>
    </w:rPr>
  </w:style>
  <w:style w:type="character" w:styleId="Emphasis">
    <w:name w:val="Emphasis"/>
    <w:uiPriority w:val="20"/>
    <w:qFormat/>
    <w:rsid w:val="004600F9"/>
    <w:rPr>
      <w:i/>
      <w:iCs/>
    </w:rPr>
  </w:style>
  <w:style w:type="character" w:customStyle="1" w:styleId="reportbody1">
    <w:name w:val="reportbody1"/>
    <w:rsid w:val="004600F9"/>
    <w:rPr>
      <w:rFonts w:ascii="Tahoma" w:hAnsi="Tahoma" w:cs="Tahoma" w:hint="default"/>
      <w:color w:val="000000"/>
      <w:sz w:val="11"/>
      <w:szCs w:val="11"/>
    </w:rPr>
  </w:style>
  <w:style w:type="paragraph" w:customStyle="1" w:styleId="MediumGrid1-Accent21">
    <w:name w:val="Medium Grid 1 - Accent 21"/>
    <w:basedOn w:val="Normal"/>
    <w:qFormat/>
    <w:rsid w:val="004600F9"/>
    <w:pPr>
      <w:spacing w:after="200" w:line="276" w:lineRule="auto"/>
      <w:ind w:left="720"/>
      <w:contextualSpacing/>
    </w:pPr>
    <w:rPr>
      <w:rFonts w:ascii="Calibri" w:eastAsia="Calibri" w:hAnsi="Calibri"/>
      <w:sz w:val="22"/>
      <w:szCs w:val="22"/>
    </w:rPr>
  </w:style>
  <w:style w:type="paragraph" w:styleId="List">
    <w:name w:val="List"/>
    <w:basedOn w:val="Normal"/>
    <w:rsid w:val="004600F9"/>
    <w:pPr>
      <w:ind w:left="360" w:hanging="360"/>
    </w:pPr>
    <w:rPr>
      <w:szCs w:val="24"/>
    </w:rPr>
  </w:style>
  <w:style w:type="character" w:customStyle="1" w:styleId="A11">
    <w:name w:val="A11"/>
    <w:uiPriority w:val="99"/>
    <w:rsid w:val="004600F9"/>
    <w:rPr>
      <w:color w:val="000000"/>
      <w:sz w:val="20"/>
    </w:rPr>
  </w:style>
  <w:style w:type="paragraph" w:customStyle="1" w:styleId="qHeadText">
    <w:name w:val="qHeadText"/>
    <w:basedOn w:val="Normal"/>
    <w:uiPriority w:val="99"/>
    <w:qFormat/>
    <w:rsid w:val="004600F9"/>
    <w:rPr>
      <w:i/>
      <w:sz w:val="22"/>
      <w:szCs w:val="24"/>
      <w:lang w:eastAsia="zh-CN"/>
    </w:rPr>
  </w:style>
  <w:style w:type="paragraph" w:customStyle="1" w:styleId="default0">
    <w:name w:val="default"/>
    <w:basedOn w:val="Normal"/>
    <w:rsid w:val="004600F9"/>
    <w:pPr>
      <w:spacing w:before="100" w:beforeAutospacing="1" w:after="100" w:afterAutospacing="1"/>
    </w:pPr>
    <w:rPr>
      <w:szCs w:val="24"/>
    </w:rPr>
  </w:style>
  <w:style w:type="character" w:styleId="FollowedHyperlink">
    <w:name w:val="FollowedHyperlink"/>
    <w:rsid w:val="004600F9"/>
    <w:rPr>
      <w:color w:val="800080"/>
      <w:u w:val="single"/>
    </w:rPr>
  </w:style>
  <w:style w:type="paragraph" w:customStyle="1" w:styleId="DualTxt">
    <w:name w:val="__Dual Txt"/>
    <w:basedOn w:val="Normal"/>
    <w:rsid w:val="004600F9"/>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rPr>
  </w:style>
  <w:style w:type="character" w:customStyle="1" w:styleId="st1">
    <w:name w:val="st1"/>
    <w:rsid w:val="004600F9"/>
  </w:style>
  <w:style w:type="paragraph" w:customStyle="1" w:styleId="Subtitle1">
    <w:name w:val="Subtitle1"/>
    <w:rsid w:val="004600F9"/>
    <w:pPr>
      <w:spacing w:after="0" w:line="240" w:lineRule="auto"/>
      <w:jc w:val="center"/>
    </w:pPr>
    <w:rPr>
      <w:rFonts w:ascii="Times New Roman Bold" w:eastAsia="ヒラギノ角ゴ Pro W3" w:hAnsi="Times New Roman Bold" w:cs="Times New Roman"/>
      <w:color w:val="000000"/>
      <w:sz w:val="24"/>
      <w:szCs w:val="20"/>
    </w:rPr>
  </w:style>
  <w:style w:type="paragraph" w:customStyle="1" w:styleId="H23">
    <w:name w:val="_ H_2/3"/>
    <w:basedOn w:val="Normal"/>
    <w:next w:val="Normal"/>
    <w:rsid w:val="004600F9"/>
    <w:pPr>
      <w:keepNext/>
      <w:keepLines/>
      <w:suppressAutoHyphens/>
      <w:spacing w:line="240" w:lineRule="exact"/>
      <w:outlineLvl w:val="1"/>
    </w:pPr>
    <w:rPr>
      <w:b/>
      <w:spacing w:val="2"/>
      <w:w w:val="103"/>
      <w:kern w:val="14"/>
    </w:rPr>
  </w:style>
  <w:style w:type="paragraph" w:styleId="TOCHeading">
    <w:name w:val="TOC Heading"/>
    <w:basedOn w:val="Heading1"/>
    <w:next w:val="Normal"/>
    <w:uiPriority w:val="39"/>
    <w:semiHidden/>
    <w:unhideWhenUsed/>
    <w:qFormat/>
    <w:rsid w:val="004600F9"/>
    <w:pPr>
      <w:keepLines/>
      <w:numPr>
        <w:numId w:val="0"/>
      </w:numPr>
      <w:tabs>
        <w:tab w:val="clear" w:pos="1080"/>
      </w:tabs>
      <w:spacing w:before="480" w:line="276" w:lineRule="auto"/>
      <w:outlineLvl w:val="9"/>
    </w:pPr>
    <w:rPr>
      <w:rFonts w:ascii="Cambria" w:eastAsia="MS Gothic" w:hAnsi="Cambria"/>
      <w:bCs/>
      <w:color w:val="365F91"/>
      <w:szCs w:val="28"/>
      <w:lang w:val="en-US" w:eastAsia="ja-JP"/>
    </w:rPr>
  </w:style>
  <w:style w:type="character" w:customStyle="1" w:styleId="ListParagraphChar">
    <w:name w:val="List Paragraph Char"/>
    <w:link w:val="ListParagraph"/>
    <w:uiPriority w:val="34"/>
    <w:locked/>
    <w:rsid w:val="004600F9"/>
    <w:rPr>
      <w:rFonts w:ascii="Times New Roman" w:eastAsia="Calibri" w:hAnsi="Times New Roman" w:cs="Times New Roman"/>
      <w:sz w:val="20"/>
      <w:lang w:val="en-GB"/>
    </w:rPr>
  </w:style>
  <w:style w:type="table" w:customStyle="1" w:styleId="TableGrid1">
    <w:name w:val="Table Grid1"/>
    <w:basedOn w:val="TableNormal"/>
    <w:next w:val="TableGrid"/>
    <w:uiPriority w:val="99"/>
    <w:rsid w:val="004600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4600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99"/>
    <w:rsid w:val="004600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4600F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0F9"/>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9"/>
    <w:qFormat/>
    <w:rsid w:val="004600F9"/>
    <w:pPr>
      <w:keepNext/>
      <w:numPr>
        <w:numId w:val="2"/>
      </w:numPr>
      <w:tabs>
        <w:tab w:val="left" w:pos="1080"/>
      </w:tabs>
      <w:outlineLvl w:val="0"/>
    </w:pPr>
    <w:rPr>
      <w:b/>
      <w:sz w:val="28"/>
      <w:lang w:val="x-none" w:eastAsia="x-none"/>
    </w:rPr>
  </w:style>
  <w:style w:type="paragraph" w:styleId="Heading2">
    <w:name w:val="heading 2"/>
    <w:basedOn w:val="Normal"/>
    <w:next w:val="Normal"/>
    <w:link w:val="Heading2Char"/>
    <w:uiPriority w:val="99"/>
    <w:qFormat/>
    <w:rsid w:val="004600F9"/>
    <w:pPr>
      <w:keepNext/>
      <w:numPr>
        <w:numId w:val="17"/>
      </w:numPr>
      <w:tabs>
        <w:tab w:val="left" w:pos="1080"/>
      </w:tabs>
      <w:outlineLvl w:val="1"/>
    </w:pPr>
    <w:rPr>
      <w:b/>
      <w:sz w:val="24"/>
      <w:lang w:val="x-none" w:eastAsia="x-none"/>
    </w:rPr>
  </w:style>
  <w:style w:type="paragraph" w:styleId="Heading3">
    <w:name w:val="heading 3"/>
    <w:basedOn w:val="Normal"/>
    <w:next w:val="Normal"/>
    <w:link w:val="Heading3Char"/>
    <w:uiPriority w:val="99"/>
    <w:qFormat/>
    <w:rsid w:val="004600F9"/>
    <w:pPr>
      <w:keepNext/>
      <w:numPr>
        <w:numId w:val="6"/>
      </w:numPr>
      <w:ind w:left="1440"/>
      <w:outlineLvl w:val="2"/>
    </w:pPr>
    <w:rPr>
      <w:b/>
      <w:sz w:val="22"/>
      <w:lang w:val="x-none" w:eastAsia="x-none"/>
    </w:rPr>
  </w:style>
  <w:style w:type="paragraph" w:styleId="Heading4">
    <w:name w:val="heading 4"/>
    <w:basedOn w:val="Normal"/>
    <w:next w:val="Normal"/>
    <w:link w:val="Heading4Char"/>
    <w:uiPriority w:val="99"/>
    <w:qFormat/>
    <w:rsid w:val="004600F9"/>
    <w:pPr>
      <w:keepNext/>
      <w:jc w:val="center"/>
      <w:outlineLvl w:val="3"/>
    </w:pPr>
    <w:rPr>
      <w:u w:val="single"/>
      <w:lang w:val="x-none" w:eastAsia="x-none"/>
    </w:rPr>
  </w:style>
  <w:style w:type="paragraph" w:styleId="Heading5">
    <w:name w:val="heading 5"/>
    <w:basedOn w:val="Normal"/>
    <w:next w:val="Normal"/>
    <w:link w:val="Heading5Char"/>
    <w:qFormat/>
    <w:rsid w:val="004600F9"/>
    <w:pPr>
      <w:keepNext/>
      <w:numPr>
        <w:numId w:val="5"/>
      </w:numPr>
      <w:tabs>
        <w:tab w:val="center" w:pos="4680"/>
      </w:tabs>
      <w:jc w:val="center"/>
      <w:outlineLvl w:val="4"/>
    </w:pPr>
    <w:rPr>
      <w:u w:val="single"/>
    </w:rPr>
  </w:style>
  <w:style w:type="paragraph" w:styleId="Heading6">
    <w:name w:val="heading 6"/>
    <w:basedOn w:val="Normal"/>
    <w:next w:val="Normal"/>
    <w:link w:val="Heading6Char"/>
    <w:uiPriority w:val="99"/>
    <w:qFormat/>
    <w:rsid w:val="004600F9"/>
    <w:pPr>
      <w:keepNext/>
      <w:outlineLvl w:val="5"/>
    </w:pPr>
    <w:rPr>
      <w:rFonts w:ascii="Arial" w:hAnsi="Arial"/>
      <w:b/>
      <w:sz w:val="32"/>
      <w:lang w:val="x-none" w:eastAsia="x-none"/>
    </w:rPr>
  </w:style>
  <w:style w:type="paragraph" w:styleId="Heading7">
    <w:name w:val="heading 7"/>
    <w:basedOn w:val="Normal"/>
    <w:next w:val="Normal"/>
    <w:link w:val="Heading7Char"/>
    <w:qFormat/>
    <w:rsid w:val="004600F9"/>
    <w:pPr>
      <w:keepNext/>
      <w:ind w:left="720"/>
      <w:outlineLvl w:val="6"/>
    </w:pPr>
  </w:style>
  <w:style w:type="paragraph" w:styleId="Heading8">
    <w:name w:val="heading 8"/>
    <w:basedOn w:val="Normal"/>
    <w:next w:val="Normal"/>
    <w:link w:val="Heading8Char"/>
    <w:qFormat/>
    <w:rsid w:val="004600F9"/>
    <w:pPr>
      <w:keepNext/>
      <w:jc w:val="both"/>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600F9"/>
    <w:rPr>
      <w:rFonts w:ascii="Times New Roman" w:eastAsia="Times New Roman" w:hAnsi="Times New Roman" w:cs="Times New Roman"/>
      <w:b/>
      <w:sz w:val="28"/>
      <w:szCs w:val="20"/>
      <w:lang w:val="x-none" w:eastAsia="x-none"/>
    </w:rPr>
  </w:style>
  <w:style w:type="paragraph" w:styleId="TOC1">
    <w:name w:val="toc 1"/>
    <w:basedOn w:val="Normal"/>
    <w:next w:val="Normal"/>
    <w:autoRedefine/>
    <w:uiPriority w:val="39"/>
    <w:rsid w:val="004600F9"/>
    <w:pPr>
      <w:tabs>
        <w:tab w:val="right" w:leader="dot" w:pos="9350"/>
      </w:tabs>
      <w:spacing w:after="120"/>
      <w:ind w:left="634" w:hanging="634"/>
    </w:pPr>
    <w:rPr>
      <w:noProof/>
    </w:rPr>
  </w:style>
  <w:style w:type="character" w:styleId="Hyperlink">
    <w:name w:val="Hyperlink"/>
    <w:uiPriority w:val="99"/>
    <w:rsid w:val="004600F9"/>
    <w:rPr>
      <w:rFonts w:cs="Times New Roman"/>
      <w:color w:val="0000FF"/>
      <w:u w:val="single"/>
    </w:rPr>
  </w:style>
  <w:style w:type="paragraph" w:styleId="BalloonText">
    <w:name w:val="Balloon Text"/>
    <w:basedOn w:val="Normal"/>
    <w:link w:val="BalloonTextChar"/>
    <w:uiPriority w:val="99"/>
    <w:unhideWhenUsed/>
    <w:rsid w:val="004600F9"/>
    <w:rPr>
      <w:rFonts w:ascii="Tahoma" w:hAnsi="Tahoma" w:cs="Tahoma"/>
      <w:sz w:val="16"/>
      <w:szCs w:val="16"/>
    </w:rPr>
  </w:style>
  <w:style w:type="character" w:customStyle="1" w:styleId="BalloonTextChar">
    <w:name w:val="Balloon Text Char"/>
    <w:basedOn w:val="DefaultParagraphFont"/>
    <w:link w:val="BalloonText"/>
    <w:uiPriority w:val="99"/>
    <w:rsid w:val="004600F9"/>
    <w:rPr>
      <w:rFonts w:ascii="Tahoma" w:eastAsia="Times New Roman" w:hAnsi="Tahoma" w:cs="Tahoma"/>
      <w:sz w:val="16"/>
      <w:szCs w:val="16"/>
      <w:lang w:val="en-GB"/>
    </w:rPr>
  </w:style>
  <w:style w:type="character" w:customStyle="1" w:styleId="Heading2Char">
    <w:name w:val="Heading 2 Char"/>
    <w:basedOn w:val="DefaultParagraphFont"/>
    <w:link w:val="Heading2"/>
    <w:uiPriority w:val="99"/>
    <w:rsid w:val="004600F9"/>
    <w:rPr>
      <w:rFonts w:ascii="Times New Roman" w:eastAsia="Times New Roman" w:hAnsi="Times New Roman" w:cs="Times New Roman"/>
      <w:b/>
      <w:sz w:val="24"/>
      <w:szCs w:val="20"/>
      <w:lang w:val="x-none" w:eastAsia="x-none"/>
    </w:rPr>
  </w:style>
  <w:style w:type="character" w:customStyle="1" w:styleId="Heading3Char">
    <w:name w:val="Heading 3 Char"/>
    <w:basedOn w:val="DefaultParagraphFont"/>
    <w:link w:val="Heading3"/>
    <w:uiPriority w:val="99"/>
    <w:rsid w:val="004600F9"/>
    <w:rPr>
      <w:rFonts w:ascii="Times New Roman" w:eastAsia="Times New Roman" w:hAnsi="Times New Roman" w:cs="Times New Roman"/>
      <w:b/>
      <w:szCs w:val="20"/>
      <w:lang w:val="x-none" w:eastAsia="x-none"/>
    </w:rPr>
  </w:style>
  <w:style w:type="character" w:customStyle="1" w:styleId="Heading4Char">
    <w:name w:val="Heading 4 Char"/>
    <w:basedOn w:val="DefaultParagraphFont"/>
    <w:link w:val="Heading4"/>
    <w:uiPriority w:val="99"/>
    <w:rsid w:val="004600F9"/>
    <w:rPr>
      <w:rFonts w:ascii="Times New Roman" w:eastAsia="Times New Roman" w:hAnsi="Times New Roman" w:cs="Times New Roman"/>
      <w:sz w:val="20"/>
      <w:szCs w:val="20"/>
      <w:u w:val="single"/>
      <w:lang w:val="x-none" w:eastAsia="x-none"/>
    </w:rPr>
  </w:style>
  <w:style w:type="character" w:customStyle="1" w:styleId="Heading5Char">
    <w:name w:val="Heading 5 Char"/>
    <w:basedOn w:val="DefaultParagraphFont"/>
    <w:link w:val="Heading5"/>
    <w:rsid w:val="004600F9"/>
    <w:rPr>
      <w:rFonts w:ascii="Times New Roman" w:eastAsia="Times New Roman" w:hAnsi="Times New Roman" w:cs="Times New Roman"/>
      <w:sz w:val="20"/>
      <w:szCs w:val="20"/>
      <w:u w:val="single"/>
      <w:lang w:val="en-GB"/>
    </w:rPr>
  </w:style>
  <w:style w:type="character" w:customStyle="1" w:styleId="Heading6Char">
    <w:name w:val="Heading 6 Char"/>
    <w:basedOn w:val="DefaultParagraphFont"/>
    <w:link w:val="Heading6"/>
    <w:uiPriority w:val="99"/>
    <w:rsid w:val="004600F9"/>
    <w:rPr>
      <w:rFonts w:ascii="Arial" w:eastAsia="Times New Roman" w:hAnsi="Arial" w:cs="Times New Roman"/>
      <w:b/>
      <w:sz w:val="32"/>
      <w:szCs w:val="20"/>
      <w:lang w:val="x-none" w:eastAsia="x-none"/>
    </w:rPr>
  </w:style>
  <w:style w:type="character" w:customStyle="1" w:styleId="Heading7Char">
    <w:name w:val="Heading 7 Char"/>
    <w:basedOn w:val="DefaultParagraphFont"/>
    <w:link w:val="Heading7"/>
    <w:rsid w:val="004600F9"/>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4600F9"/>
    <w:rPr>
      <w:rFonts w:ascii="Times New Roman" w:eastAsia="Times New Roman" w:hAnsi="Times New Roman" w:cs="Times New Roman"/>
      <w:i/>
      <w:sz w:val="20"/>
      <w:szCs w:val="20"/>
      <w:lang w:val="en-GB"/>
    </w:rPr>
  </w:style>
  <w:style w:type="paragraph" w:styleId="Header">
    <w:name w:val="header"/>
    <w:basedOn w:val="Normal"/>
    <w:link w:val="HeaderChar"/>
    <w:uiPriority w:val="99"/>
    <w:rsid w:val="004600F9"/>
    <w:pPr>
      <w:tabs>
        <w:tab w:val="center" w:pos="4320"/>
        <w:tab w:val="right" w:pos="8640"/>
      </w:tabs>
    </w:pPr>
    <w:rPr>
      <w:lang w:val="x-none" w:eastAsia="x-none"/>
    </w:rPr>
  </w:style>
  <w:style w:type="character" w:customStyle="1" w:styleId="HeaderChar">
    <w:name w:val="Header Char"/>
    <w:basedOn w:val="DefaultParagraphFont"/>
    <w:link w:val="Header"/>
    <w:uiPriority w:val="99"/>
    <w:rsid w:val="004600F9"/>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4600F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600F9"/>
    <w:rPr>
      <w:rFonts w:ascii="Times New Roman" w:eastAsia="Times New Roman" w:hAnsi="Times New Roman" w:cs="Times New Roman"/>
      <w:sz w:val="20"/>
      <w:szCs w:val="20"/>
      <w:lang w:val="x-none" w:eastAsia="x-none"/>
    </w:rPr>
  </w:style>
  <w:style w:type="character" w:styleId="PageNumber">
    <w:name w:val="page number"/>
    <w:basedOn w:val="DefaultParagraphFont"/>
    <w:rsid w:val="004600F9"/>
  </w:style>
  <w:style w:type="character" w:styleId="FootnoteReference">
    <w:name w:val="footnote reference"/>
    <w:uiPriority w:val="99"/>
    <w:rsid w:val="004600F9"/>
  </w:style>
  <w:style w:type="paragraph" w:customStyle="1" w:styleId="Level1">
    <w:name w:val="Level 1"/>
    <w:basedOn w:val="Normal"/>
    <w:rsid w:val="004600F9"/>
    <w:pPr>
      <w:widowControl w:val="0"/>
    </w:pPr>
    <w:rPr>
      <w:snapToGrid w:val="0"/>
    </w:rPr>
  </w:style>
  <w:style w:type="paragraph" w:styleId="Title">
    <w:name w:val="Title"/>
    <w:basedOn w:val="Normal"/>
    <w:link w:val="TitleChar"/>
    <w:uiPriority w:val="99"/>
    <w:qFormat/>
    <w:rsid w:val="004600F9"/>
    <w:pPr>
      <w:jc w:val="center"/>
    </w:pPr>
    <w:rPr>
      <w:b/>
      <w:sz w:val="28"/>
      <w:lang w:eastAsia="x-none"/>
    </w:rPr>
  </w:style>
  <w:style w:type="character" w:customStyle="1" w:styleId="TitleChar">
    <w:name w:val="Title Char"/>
    <w:basedOn w:val="DefaultParagraphFont"/>
    <w:link w:val="Title"/>
    <w:uiPriority w:val="99"/>
    <w:rsid w:val="004600F9"/>
    <w:rPr>
      <w:rFonts w:ascii="Times New Roman" w:eastAsia="Times New Roman" w:hAnsi="Times New Roman" w:cs="Times New Roman"/>
      <w:b/>
      <w:sz w:val="28"/>
      <w:szCs w:val="20"/>
      <w:lang w:val="en-GB" w:eastAsia="x-none"/>
    </w:rPr>
  </w:style>
  <w:style w:type="paragraph" w:styleId="TOC2">
    <w:name w:val="toc 2"/>
    <w:basedOn w:val="Normal"/>
    <w:next w:val="Normal"/>
    <w:autoRedefine/>
    <w:uiPriority w:val="39"/>
    <w:rsid w:val="004600F9"/>
    <w:pPr>
      <w:tabs>
        <w:tab w:val="left" w:pos="630"/>
        <w:tab w:val="right" w:leader="dot" w:pos="9350"/>
      </w:tabs>
      <w:ind w:left="200"/>
    </w:pPr>
    <w:rPr>
      <w:noProof/>
    </w:rPr>
  </w:style>
  <w:style w:type="paragraph" w:styleId="TOC3">
    <w:name w:val="toc 3"/>
    <w:basedOn w:val="Normal"/>
    <w:next w:val="Normal"/>
    <w:autoRedefine/>
    <w:uiPriority w:val="39"/>
    <w:rsid w:val="004600F9"/>
    <w:pPr>
      <w:tabs>
        <w:tab w:val="left" w:pos="1800"/>
        <w:tab w:val="right" w:leader="dot" w:pos="9350"/>
      </w:tabs>
      <w:ind w:left="1260" w:hanging="860"/>
    </w:pPr>
    <w:rPr>
      <w:noProof/>
    </w:rPr>
  </w:style>
  <w:style w:type="paragraph" w:styleId="FootnoteText">
    <w:name w:val="footnote text"/>
    <w:basedOn w:val="Normal"/>
    <w:link w:val="FootnoteTextChar"/>
    <w:uiPriority w:val="99"/>
    <w:rsid w:val="004600F9"/>
    <w:rPr>
      <w:lang w:eastAsia="x-none"/>
    </w:rPr>
  </w:style>
  <w:style w:type="character" w:customStyle="1" w:styleId="FootnoteTextChar">
    <w:name w:val="Footnote Text Char"/>
    <w:basedOn w:val="DefaultParagraphFont"/>
    <w:link w:val="FootnoteText"/>
    <w:uiPriority w:val="99"/>
    <w:rsid w:val="004600F9"/>
    <w:rPr>
      <w:rFonts w:ascii="Times New Roman" w:eastAsia="Times New Roman" w:hAnsi="Times New Roman" w:cs="Times New Roman"/>
      <w:sz w:val="20"/>
      <w:szCs w:val="20"/>
      <w:lang w:val="en-GB" w:eastAsia="x-none"/>
    </w:rPr>
  </w:style>
  <w:style w:type="paragraph" w:styleId="BodyText3">
    <w:name w:val="Body Text 3"/>
    <w:basedOn w:val="Normal"/>
    <w:link w:val="BodyText3Char"/>
    <w:rsid w:val="004600F9"/>
    <w:pPr>
      <w:widowControl w:val="0"/>
      <w:jc w:val="both"/>
    </w:pPr>
    <w:rPr>
      <w:snapToGrid w:val="0"/>
    </w:rPr>
  </w:style>
  <w:style w:type="character" w:customStyle="1" w:styleId="BodyText3Char">
    <w:name w:val="Body Text 3 Char"/>
    <w:basedOn w:val="DefaultParagraphFont"/>
    <w:link w:val="BodyText3"/>
    <w:rsid w:val="004600F9"/>
    <w:rPr>
      <w:rFonts w:ascii="Times New Roman" w:eastAsia="Times New Roman" w:hAnsi="Times New Roman" w:cs="Times New Roman"/>
      <w:snapToGrid w:val="0"/>
      <w:sz w:val="20"/>
      <w:szCs w:val="20"/>
      <w:lang w:val="en-GB"/>
    </w:rPr>
  </w:style>
  <w:style w:type="paragraph" w:styleId="BodyText2">
    <w:name w:val="Body Text 2"/>
    <w:basedOn w:val="Normal"/>
    <w:link w:val="BodyText2Char"/>
    <w:rsid w:val="004600F9"/>
    <w:rPr>
      <w:u w:val="single"/>
    </w:rPr>
  </w:style>
  <w:style w:type="character" w:customStyle="1" w:styleId="BodyText2Char">
    <w:name w:val="Body Text 2 Char"/>
    <w:basedOn w:val="DefaultParagraphFont"/>
    <w:link w:val="BodyText2"/>
    <w:rsid w:val="004600F9"/>
    <w:rPr>
      <w:rFonts w:ascii="Times New Roman" w:eastAsia="Times New Roman" w:hAnsi="Times New Roman" w:cs="Times New Roman"/>
      <w:sz w:val="20"/>
      <w:szCs w:val="20"/>
      <w:u w:val="single"/>
      <w:lang w:val="en-GB"/>
    </w:rPr>
  </w:style>
  <w:style w:type="paragraph" w:styleId="BodyText">
    <w:name w:val="Body Text"/>
    <w:basedOn w:val="Normal"/>
    <w:link w:val="BodyTextChar"/>
    <w:uiPriority w:val="99"/>
    <w:rsid w:val="004600F9"/>
    <w:pPr>
      <w:spacing w:line="480" w:lineRule="auto"/>
    </w:pPr>
    <w:rPr>
      <w:lang w:val="x-none" w:eastAsia="x-none"/>
    </w:rPr>
  </w:style>
  <w:style w:type="character" w:customStyle="1" w:styleId="BodyTextChar">
    <w:name w:val="Body Text Char"/>
    <w:basedOn w:val="DefaultParagraphFont"/>
    <w:link w:val="BodyText"/>
    <w:uiPriority w:val="99"/>
    <w:rsid w:val="004600F9"/>
    <w:rPr>
      <w:rFonts w:ascii="Times New Roman" w:eastAsia="Times New Roman" w:hAnsi="Times New Roman" w:cs="Times New Roman"/>
      <w:sz w:val="20"/>
      <w:szCs w:val="20"/>
      <w:lang w:val="x-none" w:eastAsia="x-none"/>
    </w:rPr>
  </w:style>
  <w:style w:type="paragraph" w:styleId="BodyTextIndent2">
    <w:name w:val="Body Text Indent 2"/>
    <w:basedOn w:val="Normal"/>
    <w:link w:val="BodyTextIndent2Char"/>
    <w:rsid w:val="004600F9"/>
    <w:pPr>
      <w:ind w:left="720" w:hanging="720"/>
    </w:pPr>
  </w:style>
  <w:style w:type="character" w:customStyle="1" w:styleId="BodyTextIndent2Char">
    <w:name w:val="Body Text Indent 2 Char"/>
    <w:basedOn w:val="DefaultParagraphFont"/>
    <w:link w:val="BodyTextIndent2"/>
    <w:rsid w:val="004600F9"/>
    <w:rPr>
      <w:rFonts w:ascii="Times New Roman" w:eastAsia="Times New Roman" w:hAnsi="Times New Roman" w:cs="Times New Roman"/>
      <w:sz w:val="20"/>
      <w:szCs w:val="20"/>
      <w:lang w:val="en-GB"/>
    </w:rPr>
  </w:style>
  <w:style w:type="character" w:styleId="CommentReference">
    <w:name w:val="annotation reference"/>
    <w:uiPriority w:val="99"/>
    <w:semiHidden/>
    <w:rsid w:val="004600F9"/>
    <w:rPr>
      <w:sz w:val="16"/>
    </w:rPr>
  </w:style>
  <w:style w:type="paragraph" w:styleId="BodyTextIndent">
    <w:name w:val="Body Text Indent"/>
    <w:basedOn w:val="Normal"/>
    <w:link w:val="BodyTextIndentChar"/>
    <w:uiPriority w:val="99"/>
    <w:rsid w:val="004600F9"/>
    <w:pPr>
      <w:ind w:left="720"/>
    </w:pPr>
    <w:rPr>
      <w:lang w:val="x-none" w:eastAsia="x-none"/>
    </w:rPr>
  </w:style>
  <w:style w:type="character" w:customStyle="1" w:styleId="BodyTextIndentChar">
    <w:name w:val="Body Text Indent Char"/>
    <w:basedOn w:val="DefaultParagraphFont"/>
    <w:link w:val="BodyTextIndent"/>
    <w:uiPriority w:val="99"/>
    <w:rsid w:val="004600F9"/>
    <w:rPr>
      <w:rFonts w:ascii="Times New Roman" w:eastAsia="Times New Roman" w:hAnsi="Times New Roman" w:cs="Times New Roman"/>
      <w:sz w:val="20"/>
      <w:szCs w:val="20"/>
      <w:lang w:val="x-none" w:eastAsia="x-none"/>
    </w:rPr>
  </w:style>
  <w:style w:type="paragraph" w:styleId="BodyTextIndent3">
    <w:name w:val="Body Text Indent 3"/>
    <w:basedOn w:val="Normal"/>
    <w:link w:val="BodyTextIndent3Char"/>
    <w:rsid w:val="004600F9"/>
    <w:pPr>
      <w:ind w:left="720"/>
    </w:pPr>
    <w:rPr>
      <w:i/>
    </w:rPr>
  </w:style>
  <w:style w:type="character" w:customStyle="1" w:styleId="BodyTextIndent3Char">
    <w:name w:val="Body Text Indent 3 Char"/>
    <w:basedOn w:val="DefaultParagraphFont"/>
    <w:link w:val="BodyTextIndent3"/>
    <w:rsid w:val="004600F9"/>
    <w:rPr>
      <w:rFonts w:ascii="Times New Roman" w:eastAsia="Times New Roman" w:hAnsi="Times New Roman" w:cs="Times New Roman"/>
      <w:i/>
      <w:sz w:val="20"/>
      <w:szCs w:val="20"/>
      <w:lang w:val="en-GB"/>
    </w:rPr>
  </w:style>
  <w:style w:type="paragraph" w:styleId="CommentText">
    <w:name w:val="annotation text"/>
    <w:basedOn w:val="Normal"/>
    <w:link w:val="CommentTextChar"/>
    <w:uiPriority w:val="99"/>
    <w:semiHidden/>
    <w:rsid w:val="004600F9"/>
    <w:pPr>
      <w:widowControl w:val="0"/>
    </w:pPr>
    <w:rPr>
      <w:snapToGrid w:val="0"/>
      <w:lang w:val="x-none" w:eastAsia="x-none"/>
    </w:rPr>
  </w:style>
  <w:style w:type="character" w:customStyle="1" w:styleId="CommentTextChar">
    <w:name w:val="Comment Text Char"/>
    <w:basedOn w:val="DefaultParagraphFont"/>
    <w:link w:val="CommentText"/>
    <w:uiPriority w:val="99"/>
    <w:semiHidden/>
    <w:rsid w:val="004600F9"/>
    <w:rPr>
      <w:rFonts w:ascii="Times New Roman" w:eastAsia="Times New Roman" w:hAnsi="Times New Roman" w:cs="Times New Roman"/>
      <w:snapToGrid w:val="0"/>
      <w:sz w:val="20"/>
      <w:szCs w:val="20"/>
      <w:lang w:val="x-none" w:eastAsia="x-none"/>
    </w:rPr>
  </w:style>
  <w:style w:type="paragraph" w:styleId="ListParagraph">
    <w:name w:val="List Paragraph"/>
    <w:basedOn w:val="Normal"/>
    <w:link w:val="ListParagraphChar"/>
    <w:uiPriority w:val="34"/>
    <w:qFormat/>
    <w:rsid w:val="004600F9"/>
    <w:pPr>
      <w:spacing w:line="276" w:lineRule="auto"/>
      <w:ind w:left="1440"/>
      <w:contextualSpacing/>
    </w:pPr>
    <w:rPr>
      <w:rFonts w:eastAsia="Calibri"/>
      <w:szCs w:val="22"/>
    </w:rPr>
  </w:style>
  <w:style w:type="paragraph" w:customStyle="1" w:styleId="SingleTxt">
    <w:name w:val="__Single Txt"/>
    <w:basedOn w:val="Normal"/>
    <w:rsid w:val="004600F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rPr>
  </w:style>
  <w:style w:type="paragraph" w:styleId="Subtitle">
    <w:name w:val="Subtitle"/>
    <w:basedOn w:val="Normal"/>
    <w:link w:val="SubtitleChar"/>
    <w:uiPriority w:val="99"/>
    <w:qFormat/>
    <w:rsid w:val="004600F9"/>
    <w:pPr>
      <w:jc w:val="center"/>
    </w:pPr>
    <w:rPr>
      <w:b/>
      <w:szCs w:val="28"/>
      <w:lang w:val="x-none" w:eastAsia="x-none"/>
    </w:rPr>
  </w:style>
  <w:style w:type="character" w:customStyle="1" w:styleId="SubtitleChar">
    <w:name w:val="Subtitle Char"/>
    <w:basedOn w:val="DefaultParagraphFont"/>
    <w:link w:val="Subtitle"/>
    <w:uiPriority w:val="99"/>
    <w:rsid w:val="004600F9"/>
    <w:rPr>
      <w:rFonts w:ascii="Times New Roman" w:eastAsia="Times New Roman" w:hAnsi="Times New Roman" w:cs="Times New Roman"/>
      <w:b/>
      <w:sz w:val="20"/>
      <w:szCs w:val="28"/>
      <w:lang w:val="x-none" w:eastAsia="x-none"/>
    </w:rPr>
  </w:style>
  <w:style w:type="paragraph" w:customStyle="1" w:styleId="xl24">
    <w:name w:val="xl24"/>
    <w:basedOn w:val="Normal"/>
    <w:uiPriority w:val="99"/>
    <w:rsid w:val="004600F9"/>
    <w:pPr>
      <w:spacing w:before="100" w:after="100"/>
    </w:pPr>
    <w:rPr>
      <w:rFonts w:ascii="Arial Unicode MS" w:eastAsia="Arial Unicode MS" w:hAnsi="Arial Unicode MS"/>
      <w:sz w:val="16"/>
    </w:rPr>
  </w:style>
  <w:style w:type="paragraph" w:customStyle="1" w:styleId="Default">
    <w:name w:val="Default"/>
    <w:uiPriority w:val="99"/>
    <w:rsid w:val="004600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rsid w:val="004600F9"/>
    <w:pPr>
      <w:widowControl/>
    </w:pPr>
    <w:rPr>
      <w:b/>
      <w:bCs/>
    </w:rPr>
  </w:style>
  <w:style w:type="character" w:customStyle="1" w:styleId="CommentSubjectChar">
    <w:name w:val="Comment Subject Char"/>
    <w:basedOn w:val="CommentTextChar"/>
    <w:link w:val="CommentSubject"/>
    <w:uiPriority w:val="99"/>
    <w:rsid w:val="004600F9"/>
    <w:rPr>
      <w:rFonts w:ascii="Times New Roman" w:eastAsia="Times New Roman" w:hAnsi="Times New Roman" w:cs="Times New Roman"/>
      <w:b/>
      <w:bCs/>
      <w:snapToGrid w:val="0"/>
      <w:sz w:val="20"/>
      <w:szCs w:val="20"/>
      <w:lang w:val="x-none" w:eastAsia="x-none"/>
    </w:rPr>
  </w:style>
  <w:style w:type="paragraph" w:styleId="EndnoteText">
    <w:name w:val="endnote text"/>
    <w:basedOn w:val="Normal"/>
    <w:link w:val="EndnoteTextChar"/>
    <w:uiPriority w:val="99"/>
    <w:rsid w:val="004600F9"/>
  </w:style>
  <w:style w:type="character" w:customStyle="1" w:styleId="EndnoteTextChar">
    <w:name w:val="Endnote Text Char"/>
    <w:basedOn w:val="DefaultParagraphFont"/>
    <w:link w:val="EndnoteText"/>
    <w:uiPriority w:val="99"/>
    <w:rsid w:val="004600F9"/>
    <w:rPr>
      <w:rFonts w:ascii="Times New Roman" w:eastAsia="Times New Roman" w:hAnsi="Times New Roman" w:cs="Times New Roman"/>
      <w:sz w:val="20"/>
      <w:szCs w:val="20"/>
      <w:lang w:val="en-GB"/>
    </w:rPr>
  </w:style>
  <w:style w:type="character" w:styleId="EndnoteReference">
    <w:name w:val="endnote reference"/>
    <w:uiPriority w:val="99"/>
    <w:rsid w:val="004600F9"/>
    <w:rPr>
      <w:rFonts w:cs="Times New Roman"/>
      <w:vertAlign w:val="superscript"/>
    </w:rPr>
  </w:style>
  <w:style w:type="character" w:customStyle="1" w:styleId="ti">
    <w:name w:val="ti"/>
    <w:uiPriority w:val="99"/>
    <w:rsid w:val="004600F9"/>
    <w:rPr>
      <w:rFonts w:cs="Times New Roman"/>
    </w:rPr>
  </w:style>
  <w:style w:type="table" w:styleId="TableGrid">
    <w:name w:val="Table Grid"/>
    <w:basedOn w:val="TableNormal"/>
    <w:uiPriority w:val="59"/>
    <w:rsid w:val="004600F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4600F9"/>
    <w:pPr>
      <w:spacing w:before="100" w:beforeAutospacing="1" w:after="100" w:afterAutospacing="1"/>
    </w:pPr>
    <w:rPr>
      <w:color w:val="575349"/>
      <w:szCs w:val="24"/>
    </w:rPr>
  </w:style>
  <w:style w:type="paragraph" w:styleId="HTMLPreformatted">
    <w:name w:val="HTML Preformatted"/>
    <w:basedOn w:val="Normal"/>
    <w:link w:val="HTMLPreformattedChar"/>
    <w:rsid w:val="00460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basedOn w:val="DefaultParagraphFont"/>
    <w:link w:val="HTMLPreformatted"/>
    <w:rsid w:val="004600F9"/>
    <w:rPr>
      <w:rFonts w:ascii="Courier New" w:eastAsia="Times New Roman" w:hAnsi="Courier New" w:cs="Times New Roman"/>
      <w:sz w:val="20"/>
      <w:szCs w:val="20"/>
      <w:lang w:val="x-none" w:eastAsia="x-none"/>
    </w:rPr>
  </w:style>
  <w:style w:type="paragraph" w:styleId="NoSpacing">
    <w:name w:val="No Spacing"/>
    <w:link w:val="NoSpacingChar"/>
    <w:uiPriority w:val="1"/>
    <w:qFormat/>
    <w:rsid w:val="004600F9"/>
    <w:pPr>
      <w:spacing w:after="0" w:line="240" w:lineRule="auto"/>
    </w:pPr>
    <w:rPr>
      <w:rFonts w:ascii="Calibri" w:eastAsia="Calibri" w:hAnsi="Calibri" w:cs="Times New Roman"/>
    </w:rPr>
  </w:style>
  <w:style w:type="character" w:styleId="Emphasis">
    <w:name w:val="Emphasis"/>
    <w:uiPriority w:val="20"/>
    <w:qFormat/>
    <w:rsid w:val="004600F9"/>
    <w:rPr>
      <w:i/>
      <w:iCs/>
    </w:rPr>
  </w:style>
  <w:style w:type="character" w:customStyle="1" w:styleId="reportbody1">
    <w:name w:val="reportbody1"/>
    <w:rsid w:val="004600F9"/>
    <w:rPr>
      <w:rFonts w:ascii="Tahoma" w:hAnsi="Tahoma" w:cs="Tahoma" w:hint="default"/>
      <w:color w:val="000000"/>
      <w:sz w:val="11"/>
      <w:szCs w:val="11"/>
    </w:rPr>
  </w:style>
  <w:style w:type="paragraph" w:customStyle="1" w:styleId="MediumGrid1-Accent21">
    <w:name w:val="Medium Grid 1 - Accent 21"/>
    <w:basedOn w:val="Normal"/>
    <w:qFormat/>
    <w:rsid w:val="004600F9"/>
    <w:pPr>
      <w:spacing w:after="200" w:line="276" w:lineRule="auto"/>
      <w:ind w:left="720"/>
      <w:contextualSpacing/>
    </w:pPr>
    <w:rPr>
      <w:rFonts w:ascii="Calibri" w:eastAsia="Calibri" w:hAnsi="Calibri"/>
      <w:sz w:val="22"/>
      <w:szCs w:val="22"/>
    </w:rPr>
  </w:style>
  <w:style w:type="paragraph" w:styleId="List">
    <w:name w:val="List"/>
    <w:basedOn w:val="Normal"/>
    <w:rsid w:val="004600F9"/>
    <w:pPr>
      <w:ind w:left="360" w:hanging="360"/>
    </w:pPr>
    <w:rPr>
      <w:szCs w:val="24"/>
    </w:rPr>
  </w:style>
  <w:style w:type="character" w:customStyle="1" w:styleId="A11">
    <w:name w:val="A11"/>
    <w:uiPriority w:val="99"/>
    <w:rsid w:val="004600F9"/>
    <w:rPr>
      <w:color w:val="000000"/>
      <w:sz w:val="20"/>
    </w:rPr>
  </w:style>
  <w:style w:type="paragraph" w:customStyle="1" w:styleId="qHeadText">
    <w:name w:val="qHeadText"/>
    <w:basedOn w:val="Normal"/>
    <w:uiPriority w:val="99"/>
    <w:qFormat/>
    <w:rsid w:val="004600F9"/>
    <w:rPr>
      <w:i/>
      <w:sz w:val="22"/>
      <w:szCs w:val="24"/>
      <w:lang w:eastAsia="zh-CN"/>
    </w:rPr>
  </w:style>
  <w:style w:type="paragraph" w:customStyle="1" w:styleId="default0">
    <w:name w:val="default"/>
    <w:basedOn w:val="Normal"/>
    <w:rsid w:val="004600F9"/>
    <w:pPr>
      <w:spacing w:before="100" w:beforeAutospacing="1" w:after="100" w:afterAutospacing="1"/>
    </w:pPr>
    <w:rPr>
      <w:szCs w:val="24"/>
    </w:rPr>
  </w:style>
  <w:style w:type="character" w:styleId="FollowedHyperlink">
    <w:name w:val="FollowedHyperlink"/>
    <w:rsid w:val="004600F9"/>
    <w:rPr>
      <w:color w:val="800080"/>
      <w:u w:val="single"/>
    </w:rPr>
  </w:style>
  <w:style w:type="paragraph" w:customStyle="1" w:styleId="DualTxt">
    <w:name w:val="__Dual Txt"/>
    <w:basedOn w:val="Normal"/>
    <w:rsid w:val="004600F9"/>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rPr>
  </w:style>
  <w:style w:type="character" w:customStyle="1" w:styleId="st1">
    <w:name w:val="st1"/>
    <w:rsid w:val="004600F9"/>
  </w:style>
  <w:style w:type="paragraph" w:customStyle="1" w:styleId="Subtitle1">
    <w:name w:val="Subtitle1"/>
    <w:rsid w:val="004600F9"/>
    <w:pPr>
      <w:spacing w:after="0" w:line="240" w:lineRule="auto"/>
      <w:jc w:val="center"/>
    </w:pPr>
    <w:rPr>
      <w:rFonts w:ascii="Times New Roman Bold" w:eastAsia="ヒラギノ角ゴ Pro W3" w:hAnsi="Times New Roman Bold" w:cs="Times New Roman"/>
      <w:color w:val="000000"/>
      <w:sz w:val="24"/>
      <w:szCs w:val="20"/>
    </w:rPr>
  </w:style>
  <w:style w:type="paragraph" w:customStyle="1" w:styleId="H23">
    <w:name w:val="_ H_2/3"/>
    <w:basedOn w:val="Normal"/>
    <w:next w:val="Normal"/>
    <w:rsid w:val="004600F9"/>
    <w:pPr>
      <w:keepNext/>
      <w:keepLines/>
      <w:suppressAutoHyphens/>
      <w:spacing w:line="240" w:lineRule="exact"/>
      <w:outlineLvl w:val="1"/>
    </w:pPr>
    <w:rPr>
      <w:b/>
      <w:spacing w:val="2"/>
      <w:w w:val="103"/>
      <w:kern w:val="14"/>
    </w:rPr>
  </w:style>
  <w:style w:type="paragraph" w:styleId="TOCHeading">
    <w:name w:val="TOC Heading"/>
    <w:basedOn w:val="Heading1"/>
    <w:next w:val="Normal"/>
    <w:uiPriority w:val="39"/>
    <w:semiHidden/>
    <w:unhideWhenUsed/>
    <w:qFormat/>
    <w:rsid w:val="004600F9"/>
    <w:pPr>
      <w:keepLines/>
      <w:numPr>
        <w:numId w:val="0"/>
      </w:numPr>
      <w:tabs>
        <w:tab w:val="clear" w:pos="1080"/>
      </w:tabs>
      <w:spacing w:before="480" w:line="276" w:lineRule="auto"/>
      <w:outlineLvl w:val="9"/>
    </w:pPr>
    <w:rPr>
      <w:rFonts w:ascii="Cambria" w:eastAsia="MS Gothic" w:hAnsi="Cambria"/>
      <w:bCs/>
      <w:color w:val="365F91"/>
      <w:szCs w:val="28"/>
      <w:lang w:val="en-US" w:eastAsia="ja-JP"/>
    </w:rPr>
  </w:style>
  <w:style w:type="character" w:customStyle="1" w:styleId="ListParagraphChar">
    <w:name w:val="List Paragraph Char"/>
    <w:link w:val="ListParagraph"/>
    <w:uiPriority w:val="34"/>
    <w:locked/>
    <w:rsid w:val="004600F9"/>
    <w:rPr>
      <w:rFonts w:ascii="Times New Roman" w:eastAsia="Calibri" w:hAnsi="Times New Roman" w:cs="Times New Roman"/>
      <w:sz w:val="20"/>
      <w:lang w:val="en-GB"/>
    </w:rPr>
  </w:style>
  <w:style w:type="table" w:customStyle="1" w:styleId="TableGrid1">
    <w:name w:val="Table Grid1"/>
    <w:basedOn w:val="TableNormal"/>
    <w:next w:val="TableGrid"/>
    <w:uiPriority w:val="99"/>
    <w:rsid w:val="004600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4600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99"/>
    <w:rsid w:val="004600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4600F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4988</Words>
  <Characters>28435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UNFPA</dc:creator>
  <cp:lastModifiedBy>Elisabeth Gueye</cp:lastModifiedBy>
  <cp:revision>2</cp:revision>
  <cp:lastPrinted>2013-08-02T15:32:00Z</cp:lastPrinted>
  <dcterms:created xsi:type="dcterms:W3CDTF">2013-09-23T18:39:00Z</dcterms:created>
  <dcterms:modified xsi:type="dcterms:W3CDTF">2013-09-23T18:39:00Z</dcterms:modified>
</cp:coreProperties>
</file>